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D1" w:rsidRDefault="00484DD1" w:rsidP="00484DD1">
      <w:pPr>
        <w:pStyle w:val="1"/>
        <w:spacing w:before="0" w:after="0" w:line="480" w:lineRule="exact"/>
        <w:rPr>
          <w:rFonts w:ascii="黑体" w:eastAsia="黑体"/>
          <w:b w:val="0"/>
          <w:sz w:val="32"/>
        </w:rPr>
      </w:pPr>
      <w:r>
        <w:rPr>
          <w:rFonts w:ascii="黑体" w:eastAsia="黑体" w:hint="eastAsia"/>
          <w:b w:val="0"/>
          <w:sz w:val="32"/>
        </w:rPr>
        <w:t>附件6</w:t>
      </w: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52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52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52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52"/>
        </w:rPr>
      </w:pPr>
    </w:p>
    <w:p w:rsidR="00484DD1" w:rsidRDefault="00484DD1" w:rsidP="00484DD1">
      <w:pPr>
        <w:widowControl/>
        <w:jc w:val="center"/>
        <w:rPr>
          <w:rFonts w:ascii="黑体" w:eastAsia="黑体" w:hAnsi="宋体"/>
          <w:b/>
          <w:color w:val="000000"/>
          <w:sz w:val="44"/>
        </w:rPr>
      </w:pPr>
      <w:r>
        <w:rPr>
          <w:rFonts w:ascii="黑体" w:eastAsia="黑体" w:hAnsi="宋体" w:hint="eastAsia"/>
          <w:b/>
          <w:color w:val="000000"/>
          <w:sz w:val="44"/>
        </w:rPr>
        <w:t>能效“领跑者”自评估报告大纲</w:t>
      </w:r>
    </w:p>
    <w:p w:rsidR="00484DD1" w:rsidRDefault="00484DD1" w:rsidP="00484DD1">
      <w:pPr>
        <w:widowControl/>
        <w:jc w:val="center"/>
        <w:rPr>
          <w:rFonts w:ascii="黑体" w:eastAsia="黑体" w:hAnsi="宋体"/>
          <w:b/>
          <w:color w:val="000000"/>
          <w:sz w:val="44"/>
        </w:rPr>
      </w:pPr>
      <w:r>
        <w:rPr>
          <w:rFonts w:ascii="黑体" w:eastAsia="黑体" w:hAnsi="宋体" w:hint="eastAsia"/>
          <w:b/>
          <w:color w:val="000000"/>
          <w:sz w:val="44"/>
        </w:rPr>
        <w:t>（通信业领域）</w:t>
      </w: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宋体" w:hAnsi="宋体"/>
          <w:b/>
          <w:color w:val="000000"/>
          <w:sz w:val="44"/>
        </w:rPr>
      </w:pPr>
    </w:p>
    <w:p w:rsidR="00484DD1" w:rsidRDefault="00484DD1" w:rsidP="00484DD1">
      <w:pPr>
        <w:widowControl/>
        <w:jc w:val="center"/>
        <w:rPr>
          <w:rFonts w:ascii="黑体" w:eastAsia="黑体" w:hAnsi="黑体"/>
          <w:b/>
          <w:color w:val="000000"/>
          <w:szCs w:val="32"/>
        </w:rPr>
      </w:pPr>
      <w:r>
        <w:rPr>
          <w:rFonts w:ascii="黑体" w:eastAsia="黑体" w:hAnsi="黑体" w:hint="eastAsia"/>
          <w:b/>
          <w:color w:val="000000"/>
          <w:szCs w:val="32"/>
        </w:rPr>
        <w:t>XXX公司（企业公章）</w:t>
      </w:r>
    </w:p>
    <w:p w:rsidR="00484DD1" w:rsidRDefault="00484DD1" w:rsidP="00484DD1">
      <w:pPr>
        <w:widowControl/>
        <w:jc w:val="center"/>
        <w:rPr>
          <w:rFonts w:ascii="黑体" w:eastAsia="黑体" w:hAnsi="黑体"/>
          <w:b/>
          <w:color w:val="000000"/>
        </w:rPr>
      </w:pPr>
      <w:r>
        <w:rPr>
          <w:rFonts w:ascii="黑体" w:eastAsia="黑体" w:hAnsi="黑体" w:hint="eastAsia"/>
          <w:b/>
          <w:color w:val="000000"/>
        </w:rPr>
        <w:t>20</w:t>
      </w:r>
      <w:r>
        <w:rPr>
          <w:rFonts w:ascii="黑体" w:eastAsia="黑体" w:hAnsi="黑体" w:hint="eastAsia"/>
          <w:b/>
          <w:color w:val="000000"/>
          <w:szCs w:val="32"/>
        </w:rPr>
        <w:t>XX</w:t>
      </w:r>
      <w:r>
        <w:rPr>
          <w:rFonts w:ascii="黑体" w:eastAsia="黑体" w:hAnsi="黑体" w:hint="eastAsia"/>
          <w:b/>
          <w:color w:val="000000"/>
        </w:rPr>
        <w:t>年</w:t>
      </w:r>
      <w:r>
        <w:rPr>
          <w:rFonts w:ascii="黑体" w:eastAsia="黑体" w:hAnsi="黑体" w:hint="eastAsia"/>
          <w:b/>
          <w:color w:val="000000"/>
          <w:szCs w:val="32"/>
        </w:rPr>
        <w:t>XX</w:t>
      </w:r>
      <w:r>
        <w:rPr>
          <w:rFonts w:ascii="黑体" w:eastAsia="黑体" w:hAnsi="黑体" w:hint="eastAsia"/>
          <w:b/>
          <w:color w:val="000000"/>
        </w:rPr>
        <w:t>月</w:t>
      </w:r>
    </w:p>
    <w:p w:rsidR="00484DD1" w:rsidRDefault="00484DD1" w:rsidP="00484DD1">
      <w:pPr>
        <w:rPr>
          <w:rFonts w:ascii="方正小标宋简体" w:eastAsia="方正小标宋简体" w:hAnsi="宋体"/>
          <w:color w:val="000000"/>
          <w:sz w:val="44"/>
        </w:rPr>
        <w:sectPr w:rsidR="00484DD1">
          <w:headerReference w:type="even" r:id="rId4"/>
          <w:headerReference w:type="default" r:id="rId5"/>
          <w:footerReference w:type="even" r:id="rId6"/>
          <w:headerReference w:type="first" r:id="rId7"/>
          <w:footerReference w:type="firs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484DD1" w:rsidRDefault="00484DD1" w:rsidP="00484DD1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一、近期节能工作总结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1.1能源管理制度建设情况</w:t>
      </w:r>
    </w:p>
    <w:p w:rsidR="00484DD1" w:rsidRDefault="00484DD1" w:rsidP="00484DD1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总结企业在能源管理制度方面的工作，包括能源管理制度、节能目标责任制、节能激励约束机制、用能设备维护管理、节能培训与宣传等。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1.2节能技术改造情况</w:t>
      </w:r>
    </w:p>
    <w:p w:rsidR="00484DD1" w:rsidRDefault="00484DD1" w:rsidP="00484DD1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总结企业在节能技改方面的工作，包括主要用能设备的节能措施和节能效果，以及可再生能源利用、合同能源管理等方面的工作。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1.3能源管控能力建设情况</w:t>
      </w:r>
    </w:p>
    <w:p w:rsidR="00484DD1" w:rsidRDefault="00484DD1" w:rsidP="00484DD1">
      <w:pPr>
        <w:spacing w:line="480" w:lineRule="exact"/>
        <w:ind w:firstLineChars="200" w:firstLine="596"/>
        <w:rPr>
          <w:rFonts w:ascii="仿宋_GB2312" w:hAnsi="仿宋_GB2312" w:cs="仿宋_GB2312" w:hint="eastAsia"/>
          <w:spacing w:val="-11"/>
          <w:szCs w:val="32"/>
        </w:rPr>
      </w:pPr>
      <w:r>
        <w:rPr>
          <w:rFonts w:ascii="仿宋_GB2312" w:hAnsi="仿宋_GB2312" w:cs="仿宋_GB2312" w:hint="eastAsia"/>
          <w:spacing w:val="-11"/>
          <w:szCs w:val="32"/>
        </w:rPr>
        <w:t>总结企业在能源分级分项计量、在线监测系统方面的建设工作，以及能源统计分析、能源审计挖潜等方面的能效对标工作。</w:t>
      </w:r>
    </w:p>
    <w:p w:rsidR="00484DD1" w:rsidRDefault="00484DD1" w:rsidP="00484DD1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二、能效水平项自评估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2.1 能效水平计算</w:t>
      </w:r>
    </w:p>
    <w:p w:rsidR="00484DD1" w:rsidRDefault="00484DD1" w:rsidP="00484DD1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根据《数据中心领域上海能效“领跑者”能效水平计算细则》要求，计算出企业的综合电能使用效率。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2.2 能效水平对标及打分</w:t>
      </w:r>
    </w:p>
    <w:p w:rsidR="00484DD1" w:rsidRDefault="00484DD1" w:rsidP="00484DD1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将企业的单位产品能耗与相应的能源消耗限额中的先进值对标，并根据《数据中心领域上海能效“领跑者”评分标准》中的能效水平项来进行预评分。</w:t>
      </w:r>
    </w:p>
    <w:p w:rsidR="00484DD1" w:rsidRDefault="00484DD1" w:rsidP="00484DD1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三、节能措施项自评估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根据《数据中心领域上海能效“领跑者”评分标准》中的节能措施项，逐一进行预评分，并准备相关证明材料。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3.1能源管理制度及规章制度体系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4253"/>
        <w:gridCol w:w="850"/>
        <w:gridCol w:w="921"/>
        <w:gridCol w:w="689"/>
      </w:tblGrid>
      <w:tr w:rsidR="00484DD1" w:rsidTr="00F511EE">
        <w:trPr>
          <w:trHeight w:val="300"/>
          <w:jc w:val="center"/>
        </w:trPr>
        <w:tc>
          <w:tcPr>
            <w:tcW w:w="5969" w:type="dxa"/>
            <w:gridSpan w:val="2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300"/>
          <w:jc w:val="center"/>
        </w:trPr>
        <w:tc>
          <w:tcPr>
            <w:tcW w:w="5969" w:type="dxa"/>
            <w:gridSpan w:val="2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1）根据国家节能法律法规和地方节能政策，制定完备的能源管理规章制度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30"/>
          <w:jc w:val="center"/>
        </w:trPr>
        <w:tc>
          <w:tcPr>
            <w:tcW w:w="1716" w:type="dxa"/>
            <w:vMerge w:val="restart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2）制定生产环节节能操作规范，日常用能行为规范</w:t>
            </w:r>
          </w:p>
        </w:tc>
        <w:tc>
          <w:tcPr>
            <w:tcW w:w="4253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（1）设立能源统计岗位，建立健全能源消费原始记录和统计台账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15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（2）建立健全节能激励约束机制，实施主要耗能设备能耗定额管理制度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15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（3）加强机房空调温度管理，机房送风温度不低于18摄氏度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495"/>
          <w:jc w:val="center"/>
        </w:trPr>
        <w:tc>
          <w:tcPr>
            <w:tcW w:w="1716" w:type="dxa"/>
            <w:vMerge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（4）加强用能设备维护管理，定期对不间断电源系统、空调、照明等用能设备进行巡检维护，开展大型耗能设备节能测试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5969" w:type="dxa"/>
            <w:gridSpan w:val="2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3）建立能源管理政策和制度规范执行情况的监督机制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spacing w:line="480" w:lineRule="exact"/>
        <w:ind w:firstLineChars="200" w:firstLine="618"/>
        <w:outlineLvl w:val="1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3.2 节能目标责任制和节能规划计划</w:t>
      </w:r>
    </w:p>
    <w:tbl>
      <w:tblPr>
        <w:tblW w:w="8701" w:type="dxa"/>
        <w:jc w:val="center"/>
        <w:tblLayout w:type="fixed"/>
        <w:tblLook w:val="0000"/>
      </w:tblPr>
      <w:tblGrid>
        <w:gridCol w:w="2280"/>
        <w:gridCol w:w="3785"/>
        <w:gridCol w:w="850"/>
        <w:gridCol w:w="976"/>
        <w:gridCol w:w="810"/>
      </w:tblGrid>
      <w:tr w:rsidR="00484DD1" w:rsidTr="00F511EE">
        <w:trPr>
          <w:trHeight w:val="300"/>
          <w:jc w:val="center"/>
        </w:trPr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30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1）节能目标责任制建设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建立年度节能目标责任制，有明确的节能目标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为完成节能目标，有具体的措施、工作计划和资金保障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完成节能考核指标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2）节能规划计划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> 根据《企业节能规划编制通则》（GB/T 25329-2010），编制节能规划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8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3.3 能源管理人员的配备、管理、绩效考核及培训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1"/>
        <w:gridCol w:w="900"/>
        <w:gridCol w:w="945"/>
        <w:gridCol w:w="706"/>
      </w:tblGrid>
      <w:tr w:rsidR="00484DD1" w:rsidTr="00F511EE">
        <w:trPr>
          <w:trHeight w:val="300"/>
          <w:jc w:val="center"/>
        </w:trPr>
        <w:tc>
          <w:tcPr>
            <w:tcW w:w="5971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900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45" w:type="dxa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06" w:type="dxa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300"/>
          <w:jc w:val="center"/>
        </w:trPr>
        <w:tc>
          <w:tcPr>
            <w:tcW w:w="5971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1) 建立有效的能源管理领导制度和工作体系</w:t>
            </w:r>
          </w:p>
        </w:tc>
        <w:tc>
          <w:tcPr>
            <w:tcW w:w="900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45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5971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2) 节能工作机制实际有效运行</w:t>
            </w:r>
          </w:p>
        </w:tc>
        <w:tc>
          <w:tcPr>
            <w:tcW w:w="900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45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5971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3) 能源管理机构、岗位（负责人）按要求进行备案</w:t>
            </w:r>
          </w:p>
        </w:tc>
        <w:tc>
          <w:tcPr>
            <w:tcW w:w="900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5971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4) 能管人员具备专业技术能力、定期接受专业培训</w:t>
            </w:r>
          </w:p>
        </w:tc>
        <w:tc>
          <w:tcPr>
            <w:tcW w:w="900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8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3.4 收集分析用能情况，挖掘节能潜力</w:t>
      </w:r>
    </w:p>
    <w:tbl>
      <w:tblPr>
        <w:tblW w:w="0" w:type="auto"/>
        <w:jc w:val="center"/>
        <w:tblLayout w:type="fixed"/>
        <w:tblLook w:val="0000"/>
      </w:tblPr>
      <w:tblGrid>
        <w:gridCol w:w="1710"/>
        <w:gridCol w:w="4210"/>
        <w:gridCol w:w="852"/>
        <w:gridCol w:w="969"/>
        <w:gridCol w:w="781"/>
      </w:tblGrid>
      <w:tr w:rsidR="00484DD1" w:rsidTr="00F511EE">
        <w:trPr>
          <w:trHeight w:val="283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283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1)  建立能源统计台帐，建立相关系统或设备、设施的能源档案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3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2)  编制年度能源消费综合平衡表，开展能源统计分析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3"/>
          <w:jc w:val="center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3)  掌握本单位各项设施、运行系统和用能设备的用能参数及能效状况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3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4)  能效诊断和节能挖潜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按照《企业能源审计技术通则》（GB/T 17166- 1997）开展全面能源审计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3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根据能源审计和能效诊断结果，制定并落实节能整改措施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8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3.5 用能计量、监测和报告</w:t>
      </w:r>
    </w:p>
    <w:tbl>
      <w:tblPr>
        <w:tblW w:w="0" w:type="auto"/>
        <w:jc w:val="center"/>
        <w:tblLayout w:type="fixed"/>
        <w:tblLook w:val="0000"/>
      </w:tblPr>
      <w:tblGrid>
        <w:gridCol w:w="6063"/>
        <w:gridCol w:w="850"/>
        <w:gridCol w:w="903"/>
        <w:gridCol w:w="706"/>
      </w:tblGrid>
      <w:tr w:rsidR="00484DD1" w:rsidTr="00F511EE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1) 能源计量满足《用能单位能源计量器具配备和管理通则》（GB/T 17167-2006）等国家相关标准要求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2) 定期对相关部门节能工作进行评估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3)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</w:rPr>
              <w:t xml:space="preserve"> 对年度能源管理工作进行总结和下年度节能工作进行部署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4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8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3.6 采用先进节能技术措施和高效设备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4"/>
        <w:gridCol w:w="915"/>
        <w:gridCol w:w="915"/>
        <w:gridCol w:w="781"/>
      </w:tblGrid>
      <w:tr w:rsidR="00484DD1" w:rsidTr="00F511EE">
        <w:trPr>
          <w:trHeight w:val="300"/>
          <w:jc w:val="center"/>
        </w:trPr>
        <w:tc>
          <w:tcPr>
            <w:tcW w:w="6314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lastRenderedPageBreak/>
              <w:t>评分项</w:t>
            </w:r>
          </w:p>
        </w:tc>
        <w:tc>
          <w:tcPr>
            <w:tcW w:w="915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15" w:type="dxa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81" w:type="dxa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282"/>
          <w:jc w:val="center"/>
        </w:trPr>
        <w:tc>
          <w:tcPr>
            <w:tcW w:w="6314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1）采用合同能源管理模式实施节能改造，至少实施过1项节能技术</w:t>
            </w:r>
          </w:p>
        </w:tc>
        <w:tc>
          <w:tcPr>
            <w:tcW w:w="915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15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2"/>
          <w:jc w:val="center"/>
        </w:trPr>
        <w:tc>
          <w:tcPr>
            <w:tcW w:w="6314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2）设备采购及更换时充分考虑节能与提高能效</w:t>
            </w:r>
          </w:p>
        </w:tc>
        <w:tc>
          <w:tcPr>
            <w:tcW w:w="915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15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2"/>
          <w:jc w:val="center"/>
        </w:trPr>
        <w:tc>
          <w:tcPr>
            <w:tcW w:w="6314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3) 对主要用能设备和系统进行调适优化</w:t>
            </w:r>
          </w:p>
        </w:tc>
        <w:tc>
          <w:tcPr>
            <w:tcW w:w="915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15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282"/>
          <w:jc w:val="center"/>
        </w:trPr>
        <w:tc>
          <w:tcPr>
            <w:tcW w:w="6314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4）采用工信部发布的《绿色数据中心先进适用技术目录》或上海市类似目录所推荐的或类似的先进绿色节能技术，每项技术0.5分。</w:t>
            </w:r>
          </w:p>
        </w:tc>
        <w:tc>
          <w:tcPr>
            <w:tcW w:w="915" w:type="dxa"/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915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8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3.7 执行节能法律法规及有关规定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4"/>
        <w:gridCol w:w="870"/>
        <w:gridCol w:w="960"/>
        <w:gridCol w:w="674"/>
      </w:tblGrid>
      <w:tr w:rsidR="00484DD1" w:rsidTr="00F511EE">
        <w:trPr>
          <w:trHeight w:val="300"/>
          <w:jc w:val="center"/>
        </w:trPr>
        <w:tc>
          <w:tcPr>
            <w:tcW w:w="6194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870" w:type="dxa"/>
            <w:vAlign w:val="center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60" w:type="dxa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674" w:type="dxa"/>
          </w:tcPr>
          <w:p w:rsidR="00484DD1" w:rsidRDefault="00484DD1" w:rsidP="00F511EE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300"/>
          <w:jc w:val="center"/>
        </w:trPr>
        <w:tc>
          <w:tcPr>
            <w:tcW w:w="6194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1）执行能耗限额标准制度</w:t>
            </w:r>
          </w:p>
        </w:tc>
        <w:tc>
          <w:tcPr>
            <w:tcW w:w="870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60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6194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2）执行节能评估审查制度</w:t>
            </w:r>
          </w:p>
        </w:tc>
        <w:tc>
          <w:tcPr>
            <w:tcW w:w="870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60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6194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3) 落实电机、空调、采暖、电器、照明等高能耗设备（产品）的淘汰制度</w:t>
            </w:r>
          </w:p>
        </w:tc>
        <w:tc>
          <w:tcPr>
            <w:tcW w:w="870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60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6194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4）执行节能法律法规其他有关规定，并完成国家或本市要求的节能减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排方面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的其他各专项工作</w:t>
            </w:r>
          </w:p>
        </w:tc>
        <w:tc>
          <w:tcPr>
            <w:tcW w:w="870" w:type="dxa"/>
            <w:vAlign w:val="center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60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</w:tcPr>
          <w:p w:rsidR="00484DD1" w:rsidRDefault="00484DD1" w:rsidP="00F511EE">
            <w:pPr>
              <w:widowControl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8"/>
        <w:rPr>
          <w:rFonts w:ascii="仿宋_GB2312" w:hint="eastAsia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>3.8 对</w:t>
      </w:r>
      <w:proofErr w:type="gramStart"/>
      <w:r>
        <w:rPr>
          <w:rFonts w:ascii="仿宋_GB2312" w:hint="eastAsia"/>
          <w:b/>
          <w:bCs/>
          <w:szCs w:val="32"/>
        </w:rPr>
        <w:t>标管理</w:t>
      </w:r>
      <w:proofErr w:type="gramEnd"/>
      <w:r>
        <w:rPr>
          <w:rFonts w:ascii="仿宋_GB2312" w:hint="eastAsia"/>
          <w:b/>
          <w:bCs/>
          <w:szCs w:val="32"/>
        </w:rPr>
        <w:t>活动</w:t>
      </w:r>
    </w:p>
    <w:tbl>
      <w:tblPr>
        <w:tblW w:w="8940" w:type="dxa"/>
        <w:jc w:val="center"/>
        <w:tblLayout w:type="fixed"/>
        <w:tblLook w:val="0000"/>
      </w:tblPr>
      <w:tblGrid>
        <w:gridCol w:w="1275"/>
        <w:gridCol w:w="5160"/>
        <w:gridCol w:w="795"/>
        <w:gridCol w:w="945"/>
        <w:gridCol w:w="765"/>
      </w:tblGrid>
      <w:tr w:rsidR="00484DD1" w:rsidTr="00F511EE">
        <w:trPr>
          <w:trHeight w:val="300"/>
          <w:jc w:val="center"/>
        </w:trPr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 xml:space="preserve">1）现状分析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成立对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标活动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小组，明确职责及分工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进行分析，编写对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调研分析报告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 xml:space="preserve">2）选定标杆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以国内行业先进水平作为标杆对象得1分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以国内行业限定值作为标杆对象得0.5分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3）对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标分析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对对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进行分析，并建立对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三级指标体系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与确立的标杆值比对，找出差距，并对存在问题进行分析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4）对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标基础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明确对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计算范围、完善对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标指标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基础计量工作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5）对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标实践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按照对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标活动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要求，制定具体详实的能效对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标活动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标实施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方案切实可行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300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23"/>
                <w:kern w:val="0"/>
                <w:sz w:val="24"/>
                <w:szCs w:val="24"/>
              </w:rPr>
              <w:t>每项改进措施落实了具体责任人和有时间节点安排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84DD1" w:rsidTr="00F511EE">
        <w:trPr>
          <w:trHeight w:val="52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按照对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标实施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方案和措施计划，落实改进率100%的，2分，落实改进率60%的，1分；30%以上的，0.5分，30%以下的，不得分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DD1" w:rsidRDefault="00484DD1" w:rsidP="00F511EE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评分相关说明，包括文字、照片等素材。</w:t>
      </w:r>
    </w:p>
    <w:p w:rsidR="00484DD1" w:rsidRDefault="00484DD1" w:rsidP="00484DD1">
      <w:pPr>
        <w:spacing w:line="480" w:lineRule="exact"/>
        <w:outlineLvl w:val="0"/>
        <w:rPr>
          <w:rFonts w:ascii="黑体" w:eastAsia="黑体" w:hAnsi="黑体" w:cs="黑体" w:hint="eastAsia"/>
          <w:bCs/>
          <w:szCs w:val="32"/>
        </w:rPr>
      </w:pPr>
    </w:p>
    <w:p w:rsidR="00484DD1" w:rsidRDefault="00484DD1" w:rsidP="00484DD1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四、活动相关建议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对本年度能效领跑者活动的实施提出相关建议，包括实施方案的流程、评价方法以及评价标准等。</w:t>
      </w:r>
    </w:p>
    <w:p w:rsidR="00484DD1" w:rsidRDefault="00484DD1" w:rsidP="00484DD1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五、附件</w:t>
      </w:r>
    </w:p>
    <w:p w:rsidR="00484DD1" w:rsidRDefault="00484DD1" w:rsidP="00484DD1">
      <w:pPr>
        <w:tabs>
          <w:tab w:val="left" w:pos="1571"/>
        </w:tabs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  <w:sectPr w:rsidR="00484DD1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hAnsi="仿宋_GB2312" w:cs="仿宋_GB2312" w:hint="eastAsia"/>
          <w:szCs w:val="32"/>
        </w:rPr>
        <w:t>相关证明材料列表</w:t>
      </w:r>
    </w:p>
    <w:p w:rsidR="008F61CD" w:rsidRPr="00484DD1" w:rsidRDefault="008F61CD"/>
    <w:sectPr w:rsidR="008F61CD" w:rsidRPr="00484DD1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4D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4D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fldChar w:fldCharType="end"/>
    </w:r>
  </w:p>
  <w:p w:rsidR="00000000" w:rsidRDefault="00484DD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4D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4D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4D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DD1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4DD1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D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484DD1"/>
    <w:pPr>
      <w:keepNext/>
      <w:keepLines/>
      <w:spacing w:before="340" w:after="330" w:line="576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4D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484D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484DD1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484D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uiPriority w:val="99"/>
    <w:rsid w:val="00484DD1"/>
    <w:rPr>
      <w:rFonts w:ascii="Times New Roman" w:eastAsia="仿宋_GB2312" w:hAnsi="Times New Roman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2020-06-16T07:37:00Z</dcterms:created>
  <dcterms:modified xsi:type="dcterms:W3CDTF">2020-06-16T07:37:00Z</dcterms:modified>
</cp:coreProperties>
</file>