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9C" w:rsidRDefault="00D7409C" w:rsidP="00D7409C">
      <w:pPr>
        <w:autoSpaceDN w:val="0"/>
        <w:adjustRightInd w:val="0"/>
        <w:snapToGrid w:val="0"/>
        <w:spacing w:line="540" w:lineRule="exact"/>
        <w:rPr>
          <w:rFonts w:ascii="黑体" w:eastAsia="黑体" w:hAnsi="黑体" w:hint="eastAsia"/>
          <w:kern w:val="0"/>
          <w:szCs w:val="24"/>
        </w:rPr>
      </w:pPr>
      <w:r>
        <w:rPr>
          <w:rFonts w:ascii="黑体" w:eastAsia="黑体" w:hAnsi="黑体"/>
          <w:kern w:val="0"/>
          <w:szCs w:val="24"/>
        </w:rPr>
        <w:t>附件</w:t>
      </w:r>
    </w:p>
    <w:p w:rsidR="00D7409C" w:rsidRDefault="00D7409C" w:rsidP="00D7409C">
      <w:pPr>
        <w:autoSpaceDN w:val="0"/>
        <w:adjustRightInd w:val="0"/>
        <w:snapToGrid w:val="0"/>
        <w:spacing w:line="540" w:lineRule="exact"/>
        <w:rPr>
          <w:kern w:val="0"/>
          <w:szCs w:val="24"/>
        </w:rPr>
      </w:pPr>
    </w:p>
    <w:p w:rsidR="00D7409C" w:rsidRDefault="00D7409C" w:rsidP="00D7409C">
      <w:pPr>
        <w:autoSpaceDE w:val="0"/>
        <w:autoSpaceDN w:val="0"/>
        <w:adjustRightInd w:val="0"/>
        <w:snapToGrid w:val="0"/>
        <w:spacing w:line="540" w:lineRule="exact"/>
        <w:jc w:val="center"/>
        <w:rPr>
          <w:rFonts w:ascii="方正小标宋简体" w:eastAsia="方正小标宋简体" w:hint="eastAsia"/>
          <w:kern w:val="0"/>
          <w:sz w:val="36"/>
          <w:szCs w:val="36"/>
        </w:rPr>
      </w:pPr>
      <w:r>
        <w:rPr>
          <w:rFonts w:ascii="方正小标宋简体" w:eastAsia="方正小标宋简体" w:hint="eastAsia"/>
          <w:kern w:val="0"/>
          <w:sz w:val="36"/>
          <w:szCs w:val="36"/>
        </w:rPr>
        <w:t>2022年上海市电</w:t>
      </w:r>
      <w:proofErr w:type="gramStart"/>
      <w:r>
        <w:rPr>
          <w:rFonts w:ascii="方正小标宋简体" w:eastAsia="方正小标宋简体" w:hint="eastAsia"/>
          <w:kern w:val="0"/>
          <w:sz w:val="36"/>
          <w:szCs w:val="36"/>
        </w:rPr>
        <w:t>力直接</w:t>
      </w:r>
      <w:proofErr w:type="gramEnd"/>
      <w:r>
        <w:rPr>
          <w:rFonts w:ascii="方正小标宋简体" w:eastAsia="方正小标宋简体" w:hint="eastAsia"/>
          <w:kern w:val="0"/>
          <w:sz w:val="36"/>
          <w:szCs w:val="36"/>
        </w:rPr>
        <w:t>交易工作方案</w:t>
      </w:r>
    </w:p>
    <w:p w:rsidR="00D7409C" w:rsidRDefault="00D7409C" w:rsidP="00D7409C">
      <w:pPr>
        <w:autoSpaceDN w:val="0"/>
        <w:adjustRightInd w:val="0"/>
        <w:snapToGrid w:val="0"/>
        <w:spacing w:line="540" w:lineRule="exact"/>
        <w:rPr>
          <w:kern w:val="0"/>
          <w:szCs w:val="24"/>
        </w:rPr>
      </w:pPr>
    </w:p>
    <w:p w:rsidR="00D7409C" w:rsidRDefault="00D7409C" w:rsidP="00D7409C">
      <w:pPr>
        <w:autoSpaceDN w:val="0"/>
        <w:adjustRightInd w:val="0"/>
        <w:snapToGrid w:val="0"/>
        <w:spacing w:line="540" w:lineRule="exact"/>
        <w:ind w:firstLine="640"/>
        <w:rPr>
          <w:kern w:val="0"/>
          <w:szCs w:val="24"/>
        </w:rPr>
      </w:pPr>
      <w:r>
        <w:rPr>
          <w:kern w:val="0"/>
          <w:szCs w:val="24"/>
        </w:rPr>
        <w:t>为贯彻落实党中央、国务院决策部署，有序推进电力运行和市场化改革工作，</w:t>
      </w:r>
      <w:r>
        <w:rPr>
          <w:szCs w:val="32"/>
        </w:rPr>
        <w:t>按照《国家发展改革委关于进一步深化燃煤发电上网电价市场化改革的通知》（</w:t>
      </w:r>
      <w:proofErr w:type="gramStart"/>
      <w:r>
        <w:rPr>
          <w:szCs w:val="32"/>
        </w:rPr>
        <w:t>发改价格</w:t>
      </w:r>
      <w:proofErr w:type="gramEnd"/>
      <w:r>
        <w:rPr>
          <w:szCs w:val="32"/>
        </w:rPr>
        <w:t>〔</w:t>
      </w:r>
      <w:r>
        <w:rPr>
          <w:szCs w:val="32"/>
        </w:rPr>
        <w:t>2021</w:t>
      </w:r>
      <w:r>
        <w:rPr>
          <w:szCs w:val="32"/>
        </w:rPr>
        <w:t>〕</w:t>
      </w:r>
      <w:r>
        <w:rPr>
          <w:szCs w:val="32"/>
        </w:rPr>
        <w:t>1439</w:t>
      </w:r>
      <w:r>
        <w:rPr>
          <w:szCs w:val="32"/>
        </w:rPr>
        <w:t>号）</w:t>
      </w:r>
      <w:r>
        <w:rPr>
          <w:rFonts w:hint="eastAsia"/>
          <w:szCs w:val="32"/>
        </w:rPr>
        <w:t>、《国家发展改革委办公厅关于做好</w:t>
      </w:r>
      <w:r>
        <w:rPr>
          <w:rFonts w:hint="eastAsia"/>
          <w:szCs w:val="32"/>
        </w:rPr>
        <w:t>2022</w:t>
      </w:r>
      <w:r>
        <w:rPr>
          <w:rFonts w:hint="eastAsia"/>
          <w:szCs w:val="32"/>
        </w:rPr>
        <w:t>年能源中长期合同签订履约工作的通知》（</w:t>
      </w:r>
      <w:proofErr w:type="gramStart"/>
      <w:r>
        <w:rPr>
          <w:rFonts w:hint="eastAsia"/>
          <w:szCs w:val="32"/>
        </w:rPr>
        <w:t>发改电</w:t>
      </w:r>
      <w:proofErr w:type="gramEnd"/>
      <w:r>
        <w:rPr>
          <w:szCs w:val="32"/>
        </w:rPr>
        <w:t>〔</w:t>
      </w:r>
      <w:r>
        <w:rPr>
          <w:szCs w:val="32"/>
        </w:rPr>
        <w:t>2021</w:t>
      </w:r>
      <w:r>
        <w:rPr>
          <w:szCs w:val="32"/>
        </w:rPr>
        <w:t>〕</w:t>
      </w:r>
      <w:r>
        <w:rPr>
          <w:rFonts w:hint="eastAsia"/>
          <w:szCs w:val="32"/>
        </w:rPr>
        <w:t>365</w:t>
      </w:r>
      <w:r>
        <w:rPr>
          <w:rFonts w:hint="eastAsia"/>
          <w:szCs w:val="32"/>
        </w:rPr>
        <w:t>号）、相关</w:t>
      </w:r>
      <w:r>
        <w:rPr>
          <w:szCs w:val="32"/>
        </w:rPr>
        <w:t>配套文件</w:t>
      </w:r>
      <w:r>
        <w:rPr>
          <w:rFonts w:hint="eastAsia"/>
          <w:szCs w:val="32"/>
        </w:rPr>
        <w:t>和电力中长期交易</w:t>
      </w:r>
      <w:r>
        <w:rPr>
          <w:rFonts w:hint="eastAsia"/>
          <w:kern w:val="0"/>
        </w:rPr>
        <w:t>“六签”</w:t>
      </w:r>
      <w:r>
        <w:rPr>
          <w:szCs w:val="32"/>
        </w:rPr>
        <w:t>有关要求</w:t>
      </w:r>
      <w:r>
        <w:rPr>
          <w:kern w:val="0"/>
          <w:szCs w:val="24"/>
        </w:rPr>
        <w:t>，</w:t>
      </w:r>
      <w:r>
        <w:rPr>
          <w:rFonts w:hint="eastAsia"/>
          <w:kern w:val="0"/>
          <w:szCs w:val="24"/>
        </w:rPr>
        <w:t>上海市电</w:t>
      </w:r>
      <w:proofErr w:type="gramStart"/>
      <w:r>
        <w:rPr>
          <w:rFonts w:hint="eastAsia"/>
          <w:kern w:val="0"/>
          <w:szCs w:val="24"/>
        </w:rPr>
        <w:t>力直接</w:t>
      </w:r>
      <w:proofErr w:type="gramEnd"/>
      <w:r>
        <w:rPr>
          <w:rFonts w:hint="eastAsia"/>
          <w:kern w:val="0"/>
          <w:szCs w:val="24"/>
        </w:rPr>
        <w:t>交易</w:t>
      </w:r>
      <w:r>
        <w:rPr>
          <w:rFonts w:hint="eastAsia"/>
          <w:kern w:val="0"/>
          <w:szCs w:val="24"/>
        </w:rPr>
        <w:t>2022</w:t>
      </w:r>
      <w:r>
        <w:rPr>
          <w:rFonts w:hint="eastAsia"/>
          <w:kern w:val="0"/>
          <w:szCs w:val="24"/>
        </w:rPr>
        <w:t>年年度交易将于</w:t>
      </w:r>
      <w:r>
        <w:rPr>
          <w:rFonts w:hint="eastAsia"/>
          <w:kern w:val="0"/>
          <w:szCs w:val="24"/>
        </w:rPr>
        <w:t>12</w:t>
      </w:r>
      <w:r>
        <w:rPr>
          <w:rFonts w:hint="eastAsia"/>
          <w:kern w:val="0"/>
          <w:szCs w:val="24"/>
        </w:rPr>
        <w:t>月中旬开展，正常情况下最迟于</w:t>
      </w:r>
      <w:r>
        <w:rPr>
          <w:rFonts w:hint="eastAsia"/>
          <w:kern w:val="0"/>
          <w:szCs w:val="24"/>
        </w:rPr>
        <w:t>12</w:t>
      </w:r>
      <w:r>
        <w:rPr>
          <w:rFonts w:hint="eastAsia"/>
          <w:kern w:val="0"/>
          <w:szCs w:val="24"/>
        </w:rPr>
        <w:t>月底完成，</w:t>
      </w:r>
      <w:r>
        <w:rPr>
          <w:kern w:val="0"/>
          <w:szCs w:val="24"/>
        </w:rPr>
        <w:t>结合上海实际情况，制定本工作方案。</w:t>
      </w:r>
    </w:p>
    <w:p w:rsidR="00D7409C" w:rsidRDefault="00D7409C" w:rsidP="00D7409C">
      <w:pPr>
        <w:autoSpaceDN w:val="0"/>
        <w:adjustRightInd w:val="0"/>
        <w:snapToGrid w:val="0"/>
        <w:spacing w:line="540" w:lineRule="exact"/>
        <w:ind w:firstLine="640"/>
        <w:rPr>
          <w:rFonts w:eastAsia="黑体"/>
          <w:kern w:val="0"/>
          <w:szCs w:val="24"/>
        </w:rPr>
      </w:pPr>
      <w:r>
        <w:rPr>
          <w:rFonts w:eastAsia="黑体"/>
          <w:kern w:val="0"/>
          <w:szCs w:val="24"/>
        </w:rPr>
        <w:t>一、电量规模</w:t>
      </w:r>
    </w:p>
    <w:p w:rsidR="00D7409C" w:rsidRDefault="00D7409C" w:rsidP="00D7409C">
      <w:pPr>
        <w:autoSpaceDN w:val="0"/>
        <w:adjustRightInd w:val="0"/>
        <w:snapToGrid w:val="0"/>
        <w:spacing w:line="540" w:lineRule="exact"/>
        <w:ind w:firstLine="640"/>
        <w:rPr>
          <w:kern w:val="0"/>
          <w:szCs w:val="24"/>
        </w:rPr>
      </w:pPr>
      <w:r>
        <w:rPr>
          <w:kern w:val="0"/>
          <w:szCs w:val="24"/>
        </w:rPr>
        <w:t>根据</w:t>
      </w:r>
      <w:r>
        <w:rPr>
          <w:kern w:val="0"/>
          <w:szCs w:val="24"/>
        </w:rPr>
        <w:t>2021</w:t>
      </w:r>
      <w:r>
        <w:rPr>
          <w:kern w:val="0"/>
          <w:szCs w:val="24"/>
        </w:rPr>
        <w:t>年直接交易市场主体的注册交易情况、</w:t>
      </w:r>
      <w:r>
        <w:rPr>
          <w:kern w:val="0"/>
          <w:szCs w:val="24"/>
        </w:rPr>
        <w:t>2022</w:t>
      </w:r>
      <w:r>
        <w:rPr>
          <w:kern w:val="0"/>
          <w:szCs w:val="24"/>
        </w:rPr>
        <w:t>年电力供需形势分析，综合考虑燃煤发电电量以及电网迎峰度夏（冬）、代购</w:t>
      </w:r>
      <w:proofErr w:type="gramStart"/>
      <w:r>
        <w:rPr>
          <w:kern w:val="0"/>
          <w:szCs w:val="24"/>
        </w:rPr>
        <w:t>电市场</w:t>
      </w:r>
      <w:proofErr w:type="gramEnd"/>
      <w:r>
        <w:rPr>
          <w:kern w:val="0"/>
          <w:szCs w:val="24"/>
        </w:rPr>
        <w:t>等电力需求，初步预期</w:t>
      </w:r>
      <w:r>
        <w:rPr>
          <w:kern w:val="0"/>
          <w:szCs w:val="24"/>
        </w:rPr>
        <w:t>2022</w:t>
      </w:r>
      <w:r>
        <w:rPr>
          <w:kern w:val="0"/>
          <w:szCs w:val="24"/>
        </w:rPr>
        <w:t>年年度直接交易的电量</w:t>
      </w:r>
      <w:r>
        <w:rPr>
          <w:rFonts w:hint="eastAsia"/>
          <w:kern w:val="0"/>
          <w:szCs w:val="24"/>
        </w:rPr>
        <w:t>最大</w:t>
      </w:r>
      <w:r>
        <w:rPr>
          <w:kern w:val="0"/>
          <w:szCs w:val="24"/>
        </w:rPr>
        <w:t>规模约</w:t>
      </w:r>
      <w:r>
        <w:rPr>
          <w:kern w:val="0"/>
          <w:szCs w:val="24"/>
        </w:rPr>
        <w:t>490</w:t>
      </w:r>
      <w:r>
        <w:rPr>
          <w:kern w:val="0"/>
          <w:szCs w:val="24"/>
        </w:rPr>
        <w:t>亿千瓦时，实际交易规模根据每次交易开展前</w:t>
      </w:r>
      <w:r>
        <w:rPr>
          <w:rFonts w:hint="eastAsia"/>
          <w:kern w:val="0"/>
          <w:szCs w:val="24"/>
        </w:rPr>
        <w:t>市场主体</w:t>
      </w:r>
      <w:r>
        <w:rPr>
          <w:kern w:val="0"/>
          <w:szCs w:val="24"/>
        </w:rPr>
        <w:t>上报的相关需求用电量确定。</w:t>
      </w:r>
    </w:p>
    <w:p w:rsidR="00D7409C" w:rsidRDefault="00D7409C" w:rsidP="00D7409C">
      <w:pPr>
        <w:autoSpaceDN w:val="0"/>
        <w:adjustRightInd w:val="0"/>
        <w:snapToGrid w:val="0"/>
        <w:spacing w:line="540" w:lineRule="exact"/>
        <w:ind w:firstLine="640"/>
        <w:rPr>
          <w:rFonts w:eastAsia="黑体"/>
          <w:kern w:val="0"/>
          <w:szCs w:val="24"/>
        </w:rPr>
      </w:pPr>
      <w:r>
        <w:rPr>
          <w:rFonts w:eastAsia="黑体"/>
          <w:kern w:val="0"/>
          <w:szCs w:val="24"/>
        </w:rPr>
        <w:t>二、参与的市场主体</w:t>
      </w:r>
    </w:p>
    <w:p w:rsidR="00D7409C" w:rsidRDefault="00D7409C" w:rsidP="00D7409C">
      <w:pPr>
        <w:autoSpaceDN w:val="0"/>
        <w:adjustRightInd w:val="0"/>
        <w:snapToGrid w:val="0"/>
        <w:spacing w:line="540" w:lineRule="exact"/>
        <w:ind w:firstLine="640"/>
        <w:rPr>
          <w:rFonts w:ascii="楷体_GB2312" w:eastAsia="楷体_GB2312" w:hint="eastAsia"/>
          <w:b/>
          <w:kern w:val="0"/>
          <w:szCs w:val="24"/>
        </w:rPr>
      </w:pPr>
      <w:r>
        <w:rPr>
          <w:rFonts w:ascii="楷体_GB2312" w:eastAsia="楷体_GB2312" w:hint="eastAsia"/>
          <w:b/>
          <w:kern w:val="0"/>
          <w:szCs w:val="24"/>
        </w:rPr>
        <w:t>（一）电力用户</w:t>
      </w:r>
    </w:p>
    <w:p w:rsidR="00D7409C" w:rsidRDefault="00D7409C" w:rsidP="00D7409C">
      <w:pPr>
        <w:autoSpaceDN w:val="0"/>
        <w:adjustRightInd w:val="0"/>
        <w:snapToGrid w:val="0"/>
        <w:spacing w:line="540" w:lineRule="exact"/>
        <w:ind w:firstLine="640"/>
        <w:rPr>
          <w:kern w:val="0"/>
          <w:szCs w:val="24"/>
        </w:rPr>
      </w:pPr>
      <w:r>
        <w:rPr>
          <w:rFonts w:hint="eastAsia"/>
          <w:kern w:val="0"/>
          <w:szCs w:val="24"/>
        </w:rPr>
        <w:t>1</w:t>
      </w:r>
      <w:r>
        <w:rPr>
          <w:kern w:val="0"/>
          <w:szCs w:val="24"/>
        </w:rPr>
        <w:t>.</w:t>
      </w:r>
      <w:r>
        <w:rPr>
          <w:rFonts w:hint="eastAsia"/>
          <w:kern w:val="0"/>
          <w:szCs w:val="24"/>
        </w:rPr>
        <w:t xml:space="preserve"> </w:t>
      </w:r>
      <w:r>
        <w:rPr>
          <w:kern w:val="0"/>
          <w:szCs w:val="24"/>
        </w:rPr>
        <w:t>工商业用户原则上全部</w:t>
      </w:r>
      <w:r>
        <w:rPr>
          <w:rFonts w:hint="eastAsia"/>
          <w:kern w:val="0"/>
          <w:szCs w:val="24"/>
        </w:rPr>
        <w:t>放开</w:t>
      </w:r>
      <w:r>
        <w:rPr>
          <w:kern w:val="0"/>
          <w:szCs w:val="24"/>
        </w:rPr>
        <w:t>参与市场。</w:t>
      </w:r>
      <w:r>
        <w:rPr>
          <w:rFonts w:hint="eastAsia"/>
          <w:kern w:val="0"/>
          <w:szCs w:val="24"/>
        </w:rPr>
        <w:t>新参加的</w:t>
      </w:r>
      <w:r>
        <w:rPr>
          <w:kern w:val="0"/>
          <w:szCs w:val="24"/>
        </w:rPr>
        <w:t>工商业用户经风险测试和交易培训后，综合考虑风险</w:t>
      </w:r>
      <w:r>
        <w:rPr>
          <w:rFonts w:hint="eastAsia"/>
          <w:kern w:val="0"/>
          <w:szCs w:val="24"/>
        </w:rPr>
        <w:t>承受能力和</w:t>
      </w:r>
      <w:r>
        <w:rPr>
          <w:kern w:val="0"/>
          <w:szCs w:val="24"/>
        </w:rPr>
        <w:t>电力供需平衡等情况，鼓励有序参与直接交易。</w:t>
      </w:r>
    </w:p>
    <w:p w:rsidR="00D7409C" w:rsidRDefault="00D7409C" w:rsidP="00D7409C">
      <w:pPr>
        <w:autoSpaceDN w:val="0"/>
        <w:adjustRightInd w:val="0"/>
        <w:snapToGrid w:val="0"/>
        <w:spacing w:line="540" w:lineRule="exact"/>
        <w:ind w:firstLine="640"/>
        <w:rPr>
          <w:kern w:val="0"/>
          <w:szCs w:val="24"/>
        </w:rPr>
      </w:pPr>
      <w:r>
        <w:rPr>
          <w:rFonts w:hint="eastAsia"/>
          <w:kern w:val="0"/>
          <w:szCs w:val="24"/>
        </w:rPr>
        <w:t>2</w:t>
      </w:r>
      <w:r>
        <w:rPr>
          <w:kern w:val="0"/>
          <w:szCs w:val="24"/>
        </w:rPr>
        <w:t xml:space="preserve">. </w:t>
      </w:r>
      <w:r>
        <w:rPr>
          <w:kern w:val="0"/>
          <w:szCs w:val="24"/>
        </w:rPr>
        <w:t>有自备电厂的用户按照国家有关规定</w:t>
      </w:r>
      <w:r>
        <w:rPr>
          <w:rFonts w:hint="eastAsia"/>
          <w:kern w:val="0"/>
          <w:szCs w:val="24"/>
        </w:rPr>
        <w:t>注册</w:t>
      </w:r>
      <w:r>
        <w:rPr>
          <w:kern w:val="0"/>
          <w:szCs w:val="24"/>
        </w:rPr>
        <w:t>成为合格市场主体后，有序推进其自发自用以外电量按交易规则参与交易。</w:t>
      </w:r>
      <w:r>
        <w:rPr>
          <w:rFonts w:hint="eastAsia"/>
          <w:kern w:val="0"/>
          <w:szCs w:val="24"/>
        </w:rPr>
        <w:lastRenderedPageBreak/>
        <w:t>有自备电厂的用户从电网购电量不得超过前三年该月从电网购电量的平均值。</w:t>
      </w:r>
    </w:p>
    <w:p w:rsidR="00D7409C" w:rsidRDefault="00D7409C" w:rsidP="00D7409C">
      <w:pPr>
        <w:autoSpaceDN w:val="0"/>
        <w:adjustRightInd w:val="0"/>
        <w:snapToGrid w:val="0"/>
        <w:spacing w:line="540" w:lineRule="exact"/>
        <w:ind w:firstLine="640"/>
        <w:rPr>
          <w:kern w:val="0"/>
          <w:szCs w:val="24"/>
        </w:rPr>
      </w:pPr>
      <w:r>
        <w:rPr>
          <w:rFonts w:hint="eastAsia"/>
          <w:kern w:val="0"/>
          <w:szCs w:val="24"/>
        </w:rPr>
        <w:t>3</w:t>
      </w:r>
      <w:r>
        <w:rPr>
          <w:kern w:val="0"/>
          <w:szCs w:val="24"/>
        </w:rPr>
        <w:t xml:space="preserve">. </w:t>
      </w:r>
      <w:r>
        <w:rPr>
          <w:kern w:val="0"/>
          <w:szCs w:val="24"/>
        </w:rPr>
        <w:t>高耗能用户按照</w:t>
      </w:r>
      <w:proofErr w:type="gramStart"/>
      <w:r>
        <w:rPr>
          <w:kern w:val="0"/>
          <w:szCs w:val="24"/>
        </w:rPr>
        <w:t>国家发改委</w:t>
      </w:r>
      <w:proofErr w:type="gramEnd"/>
      <w:r>
        <w:rPr>
          <w:kern w:val="0"/>
          <w:szCs w:val="24"/>
        </w:rPr>
        <w:t>关于</w:t>
      </w:r>
      <w:r>
        <w:rPr>
          <w:rFonts w:hint="eastAsia"/>
          <w:kern w:val="0"/>
          <w:szCs w:val="24"/>
        </w:rPr>
        <w:t>“</w:t>
      </w:r>
      <w:r>
        <w:rPr>
          <w:kern w:val="0"/>
          <w:szCs w:val="24"/>
        </w:rPr>
        <w:t>两高</w:t>
      </w:r>
      <w:r>
        <w:rPr>
          <w:rFonts w:hint="eastAsia"/>
          <w:kern w:val="0"/>
          <w:szCs w:val="24"/>
        </w:rPr>
        <w:t>”</w:t>
      </w:r>
      <w:r>
        <w:rPr>
          <w:kern w:val="0"/>
          <w:szCs w:val="24"/>
        </w:rPr>
        <w:t>企业的最新</w:t>
      </w:r>
      <w:r>
        <w:rPr>
          <w:rFonts w:hint="eastAsia"/>
          <w:kern w:val="0"/>
          <w:szCs w:val="24"/>
        </w:rPr>
        <w:t>规定</w:t>
      </w:r>
      <w:r>
        <w:rPr>
          <w:kern w:val="0"/>
          <w:szCs w:val="24"/>
        </w:rPr>
        <w:t>有序参与市场。</w:t>
      </w:r>
      <w:r>
        <w:rPr>
          <w:rFonts w:hint="eastAsia"/>
          <w:kern w:val="0"/>
          <w:szCs w:val="24"/>
        </w:rPr>
        <w:t>参加交易的高耗能用户名单原则上定期发布，科学规范管理，按月进行调整。</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（二）售电公司</w:t>
      </w:r>
    </w:p>
    <w:p w:rsidR="00D7409C" w:rsidRDefault="00D7409C" w:rsidP="00D7409C">
      <w:pPr>
        <w:autoSpaceDN w:val="0"/>
        <w:adjustRightInd w:val="0"/>
        <w:snapToGrid w:val="0"/>
        <w:spacing w:line="540" w:lineRule="exact"/>
        <w:ind w:firstLine="640"/>
        <w:rPr>
          <w:kern w:val="0"/>
          <w:szCs w:val="24"/>
        </w:rPr>
      </w:pPr>
      <w:r>
        <w:rPr>
          <w:kern w:val="0"/>
          <w:szCs w:val="24"/>
        </w:rPr>
        <w:t>电力交易机构按照</w:t>
      </w:r>
      <w:proofErr w:type="gramStart"/>
      <w:r>
        <w:rPr>
          <w:kern w:val="0"/>
          <w:szCs w:val="24"/>
        </w:rPr>
        <w:t>国家发改委</w:t>
      </w:r>
      <w:proofErr w:type="gramEnd"/>
      <w:r>
        <w:rPr>
          <w:kern w:val="0"/>
          <w:szCs w:val="24"/>
        </w:rPr>
        <w:t>、国家能源局《售电公司管理办法》（</w:t>
      </w:r>
      <w:proofErr w:type="gramStart"/>
      <w:r>
        <w:rPr>
          <w:kern w:val="0"/>
          <w:szCs w:val="24"/>
        </w:rPr>
        <w:t>发改体改规</w:t>
      </w:r>
      <w:proofErr w:type="gramEnd"/>
      <w:r>
        <w:rPr>
          <w:kern w:val="0"/>
          <w:szCs w:val="24"/>
        </w:rPr>
        <w:t>〔</w:t>
      </w:r>
      <w:r>
        <w:rPr>
          <w:kern w:val="0"/>
          <w:szCs w:val="24"/>
        </w:rPr>
        <w:t>2021</w:t>
      </w:r>
      <w:r>
        <w:rPr>
          <w:kern w:val="0"/>
          <w:szCs w:val="24"/>
        </w:rPr>
        <w:t>〕</w:t>
      </w:r>
      <w:r>
        <w:rPr>
          <w:kern w:val="0"/>
          <w:szCs w:val="24"/>
        </w:rPr>
        <w:t>1595</w:t>
      </w:r>
      <w:r>
        <w:rPr>
          <w:kern w:val="0"/>
          <w:szCs w:val="24"/>
        </w:rPr>
        <w:t>号）和本市相关文件规范完善售电公司管理。过渡期间，如不违反国家最新要求，暂时继续沿用原有规则。</w:t>
      </w:r>
      <w:r>
        <w:rPr>
          <w:rFonts w:hint="eastAsia"/>
          <w:kern w:val="0"/>
          <w:szCs w:val="24"/>
        </w:rPr>
        <w:t>履约保函或履约保证保险的缴纳额度，应同时满足《售电公司管理办法》和《上海电力市场售电公司履约风险防控管理办法（试行）》（</w:t>
      </w:r>
      <w:proofErr w:type="gramStart"/>
      <w:r>
        <w:rPr>
          <w:rFonts w:hint="eastAsia"/>
          <w:kern w:val="0"/>
          <w:szCs w:val="24"/>
        </w:rPr>
        <w:t>沪发改</w:t>
      </w:r>
      <w:proofErr w:type="gramEnd"/>
      <w:r>
        <w:rPr>
          <w:rFonts w:hint="eastAsia"/>
          <w:kern w:val="0"/>
          <w:szCs w:val="24"/>
        </w:rPr>
        <w:t>能源〔</w:t>
      </w:r>
      <w:r>
        <w:rPr>
          <w:rFonts w:hint="eastAsia"/>
          <w:kern w:val="0"/>
          <w:szCs w:val="24"/>
        </w:rPr>
        <w:t>2020</w:t>
      </w:r>
      <w:r>
        <w:rPr>
          <w:rFonts w:hint="eastAsia"/>
          <w:kern w:val="0"/>
          <w:szCs w:val="24"/>
        </w:rPr>
        <w:t>〕</w:t>
      </w:r>
      <w:r>
        <w:rPr>
          <w:rFonts w:hint="eastAsia"/>
          <w:kern w:val="0"/>
          <w:szCs w:val="24"/>
        </w:rPr>
        <w:t>209</w:t>
      </w:r>
      <w:r>
        <w:rPr>
          <w:rFonts w:hint="eastAsia"/>
          <w:kern w:val="0"/>
          <w:szCs w:val="24"/>
        </w:rPr>
        <w:t>号）等有关文件要求。</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（三）发电企业</w:t>
      </w:r>
    </w:p>
    <w:p w:rsidR="00D7409C" w:rsidRDefault="00D7409C" w:rsidP="00D7409C">
      <w:pPr>
        <w:autoSpaceDN w:val="0"/>
        <w:adjustRightInd w:val="0"/>
        <w:snapToGrid w:val="0"/>
        <w:spacing w:line="540" w:lineRule="exact"/>
        <w:ind w:firstLine="640"/>
        <w:rPr>
          <w:rFonts w:hint="eastAsia"/>
          <w:kern w:val="0"/>
          <w:szCs w:val="24"/>
        </w:rPr>
      </w:pPr>
      <w:r>
        <w:rPr>
          <w:kern w:val="0"/>
          <w:szCs w:val="24"/>
        </w:rPr>
        <w:t>根据上海市发展改革委《关于转发</w:t>
      </w:r>
      <w:r>
        <w:rPr>
          <w:kern w:val="0"/>
          <w:szCs w:val="24"/>
        </w:rPr>
        <w:t>&lt;</w:t>
      </w:r>
      <w:r>
        <w:rPr>
          <w:kern w:val="0"/>
          <w:szCs w:val="24"/>
        </w:rPr>
        <w:t>关于进一步深化燃煤发电上网电价市场化改革的通知</w:t>
      </w:r>
      <w:r>
        <w:rPr>
          <w:kern w:val="0"/>
          <w:szCs w:val="24"/>
        </w:rPr>
        <w:t>&gt;</w:t>
      </w:r>
      <w:r>
        <w:rPr>
          <w:kern w:val="0"/>
          <w:szCs w:val="24"/>
        </w:rPr>
        <w:t>的通知》（</w:t>
      </w:r>
      <w:proofErr w:type="gramStart"/>
      <w:r>
        <w:rPr>
          <w:kern w:val="0"/>
          <w:szCs w:val="24"/>
        </w:rPr>
        <w:t>沪发改价</w:t>
      </w:r>
      <w:proofErr w:type="gramEnd"/>
      <w:r>
        <w:rPr>
          <w:kern w:val="0"/>
          <w:szCs w:val="24"/>
        </w:rPr>
        <w:t>管〔</w:t>
      </w:r>
      <w:r>
        <w:rPr>
          <w:kern w:val="0"/>
          <w:szCs w:val="24"/>
        </w:rPr>
        <w:t>2021</w:t>
      </w:r>
      <w:r>
        <w:rPr>
          <w:kern w:val="0"/>
          <w:szCs w:val="24"/>
        </w:rPr>
        <w:t>〕</w:t>
      </w:r>
      <w:r>
        <w:rPr>
          <w:kern w:val="0"/>
          <w:szCs w:val="24"/>
        </w:rPr>
        <w:t>51</w:t>
      </w:r>
      <w:r>
        <w:rPr>
          <w:kern w:val="0"/>
          <w:szCs w:val="24"/>
        </w:rPr>
        <w:t>号），本市燃煤发电电量原则上全部进入电力市场。</w:t>
      </w:r>
      <w:r>
        <w:rPr>
          <w:rFonts w:hint="eastAsia"/>
          <w:kern w:val="0"/>
          <w:szCs w:val="24"/>
        </w:rPr>
        <w:t>其他进入电力市场的电源及电量由</w:t>
      </w:r>
      <w:r>
        <w:rPr>
          <w:kern w:val="0"/>
          <w:szCs w:val="24"/>
        </w:rPr>
        <w:t>上海市发展改革委</w:t>
      </w:r>
      <w:r>
        <w:rPr>
          <w:rFonts w:hint="eastAsia"/>
          <w:kern w:val="0"/>
          <w:szCs w:val="24"/>
        </w:rPr>
        <w:t>根据国家政策和电力供需、电力市场建设、代购电方案等情况统筹确定。</w:t>
      </w:r>
    </w:p>
    <w:p w:rsidR="00D7409C" w:rsidRDefault="00D7409C" w:rsidP="00D7409C">
      <w:pPr>
        <w:autoSpaceDN w:val="0"/>
        <w:adjustRightInd w:val="0"/>
        <w:snapToGrid w:val="0"/>
        <w:spacing w:line="540" w:lineRule="exact"/>
        <w:ind w:firstLine="640"/>
        <w:rPr>
          <w:rFonts w:eastAsia="黑体"/>
          <w:kern w:val="0"/>
          <w:szCs w:val="24"/>
        </w:rPr>
      </w:pPr>
      <w:r>
        <w:rPr>
          <w:rFonts w:eastAsia="黑体"/>
          <w:kern w:val="0"/>
          <w:szCs w:val="24"/>
        </w:rPr>
        <w:t>三、交易机制</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（一）交易组织方式</w:t>
      </w:r>
    </w:p>
    <w:p w:rsidR="00D7409C" w:rsidRDefault="00D7409C" w:rsidP="00D7409C">
      <w:pPr>
        <w:autoSpaceDN w:val="0"/>
        <w:adjustRightInd w:val="0"/>
        <w:snapToGrid w:val="0"/>
        <w:spacing w:line="540" w:lineRule="exact"/>
        <w:ind w:firstLine="640"/>
        <w:rPr>
          <w:kern w:val="0"/>
        </w:rPr>
      </w:pPr>
      <w:r>
        <w:rPr>
          <w:kern w:val="0"/>
        </w:rPr>
        <w:t>1.</w:t>
      </w:r>
      <w:r>
        <w:rPr>
          <w:rFonts w:hint="eastAsia"/>
          <w:kern w:val="0"/>
        </w:rPr>
        <w:t xml:space="preserve"> </w:t>
      </w:r>
      <w:r>
        <w:rPr>
          <w:kern w:val="0"/>
        </w:rPr>
        <w:t>上海电力交易中心有限公司负责组织开展</w:t>
      </w:r>
      <w:r>
        <w:rPr>
          <w:kern w:val="0"/>
        </w:rPr>
        <w:t>2022</w:t>
      </w:r>
      <w:r>
        <w:rPr>
          <w:kern w:val="0"/>
        </w:rPr>
        <w:t>年直接交易工作</w:t>
      </w:r>
      <w:r>
        <w:rPr>
          <w:rFonts w:hint="eastAsia"/>
          <w:kern w:val="0"/>
        </w:rPr>
        <w:t>，严格落实国家电力中长期交易“六签”相关要求</w:t>
      </w:r>
      <w:r>
        <w:rPr>
          <w:kern w:val="0"/>
        </w:rPr>
        <w:t>。</w:t>
      </w:r>
    </w:p>
    <w:p w:rsidR="00D7409C" w:rsidRDefault="00D7409C" w:rsidP="00D7409C">
      <w:pPr>
        <w:autoSpaceDN w:val="0"/>
        <w:adjustRightInd w:val="0"/>
        <w:snapToGrid w:val="0"/>
        <w:spacing w:line="540" w:lineRule="exact"/>
        <w:ind w:firstLine="641"/>
        <w:rPr>
          <w:kern w:val="0"/>
        </w:rPr>
      </w:pPr>
      <w:r>
        <w:rPr>
          <w:kern w:val="0"/>
        </w:rPr>
        <w:t>2.</w:t>
      </w:r>
      <w:r>
        <w:rPr>
          <w:rFonts w:hint="eastAsia"/>
          <w:kern w:val="0"/>
        </w:rPr>
        <w:t xml:space="preserve"> </w:t>
      </w:r>
      <w:r>
        <w:rPr>
          <w:kern w:val="0"/>
        </w:rPr>
        <w:t>交易周期以年度交易为主，月度、月内交易</w:t>
      </w:r>
      <w:r>
        <w:rPr>
          <w:rFonts w:hint="eastAsia"/>
          <w:kern w:val="0"/>
        </w:rPr>
        <w:t>（包括旬、周、多日等）</w:t>
      </w:r>
      <w:r>
        <w:rPr>
          <w:kern w:val="0"/>
        </w:rPr>
        <w:t>为辅。充分发挥电力中长期合同的规避风险作用。</w:t>
      </w:r>
      <w:r>
        <w:rPr>
          <w:kern w:val="0"/>
        </w:rPr>
        <w:lastRenderedPageBreak/>
        <w:t>年度合同签约电量</w:t>
      </w:r>
      <w:r>
        <w:rPr>
          <w:rFonts w:hint="eastAsia"/>
          <w:kern w:val="0"/>
        </w:rPr>
        <w:t>比例按照国家电力中长期交易相关要求执行。鼓励市场主体及时、高比例签约。</w:t>
      </w:r>
    </w:p>
    <w:p w:rsidR="00D7409C" w:rsidRDefault="00D7409C" w:rsidP="00D7409C">
      <w:pPr>
        <w:autoSpaceDN w:val="0"/>
        <w:adjustRightInd w:val="0"/>
        <w:snapToGrid w:val="0"/>
        <w:spacing w:line="540" w:lineRule="exact"/>
        <w:ind w:firstLine="640"/>
        <w:rPr>
          <w:rFonts w:hint="eastAsia"/>
          <w:kern w:val="0"/>
        </w:rPr>
      </w:pPr>
      <w:r>
        <w:rPr>
          <w:kern w:val="0"/>
        </w:rPr>
        <w:t>3.</w:t>
      </w:r>
      <w:r>
        <w:rPr>
          <w:rFonts w:hint="eastAsia"/>
          <w:kern w:val="0"/>
        </w:rPr>
        <w:t xml:space="preserve"> </w:t>
      </w:r>
      <w:r>
        <w:rPr>
          <w:kern w:val="0"/>
        </w:rPr>
        <w:t>交易方式主要有双边协商交易、挂牌交易、集中竞价交易和滚动撮合交易。</w:t>
      </w:r>
    </w:p>
    <w:p w:rsidR="00D7409C" w:rsidRDefault="00D7409C" w:rsidP="00D7409C">
      <w:pPr>
        <w:autoSpaceDN w:val="0"/>
        <w:adjustRightInd w:val="0"/>
        <w:snapToGrid w:val="0"/>
        <w:spacing w:line="540" w:lineRule="exact"/>
        <w:ind w:firstLine="640"/>
        <w:rPr>
          <w:rFonts w:hint="eastAsia"/>
          <w:kern w:val="0"/>
        </w:rPr>
      </w:pPr>
      <w:r>
        <w:rPr>
          <w:kern w:val="0"/>
        </w:rPr>
        <w:t>4.</w:t>
      </w:r>
      <w:r>
        <w:rPr>
          <w:rFonts w:hint="eastAsia"/>
          <w:kern w:val="0"/>
        </w:rPr>
        <w:t xml:space="preserve"> </w:t>
      </w:r>
      <w:r>
        <w:rPr>
          <w:kern w:val="0"/>
        </w:rPr>
        <w:t>加强与代购电工作衔接</w:t>
      </w:r>
      <w:r>
        <w:rPr>
          <w:rFonts w:hint="eastAsia"/>
          <w:kern w:val="0"/>
        </w:rPr>
        <w:t>。代购电市场化购电价格按当月月度集中竞价交易的边际出清价格或加权平均价格确定。市电力公司代理购电的工商业及其他用户可在每季度最后</w:t>
      </w:r>
      <w:r>
        <w:rPr>
          <w:rFonts w:hint="eastAsia"/>
          <w:kern w:val="0"/>
        </w:rPr>
        <w:t>15</w:t>
      </w:r>
      <w:r>
        <w:rPr>
          <w:rFonts w:hint="eastAsia"/>
          <w:kern w:val="0"/>
        </w:rPr>
        <w:t>日前选择下一季度起参与直接交易市场。</w:t>
      </w:r>
    </w:p>
    <w:p w:rsidR="00D7409C" w:rsidRDefault="00D7409C" w:rsidP="00D7409C">
      <w:pPr>
        <w:autoSpaceDN w:val="0"/>
        <w:adjustRightInd w:val="0"/>
        <w:snapToGrid w:val="0"/>
        <w:spacing w:line="540" w:lineRule="exact"/>
        <w:ind w:firstLine="640"/>
        <w:rPr>
          <w:kern w:val="0"/>
        </w:rPr>
      </w:pPr>
      <w:r>
        <w:rPr>
          <w:kern w:val="0"/>
        </w:rPr>
        <w:t>5.</w:t>
      </w:r>
      <w:r>
        <w:rPr>
          <w:rFonts w:hint="eastAsia"/>
          <w:kern w:val="0"/>
        </w:rPr>
        <w:t xml:space="preserve"> </w:t>
      </w:r>
      <w:r>
        <w:rPr>
          <w:kern w:val="0"/>
        </w:rPr>
        <w:t>深化分时段交易。按照国家要求不断完善细化时段划分。</w:t>
      </w:r>
      <w:r>
        <w:rPr>
          <w:rFonts w:hint="eastAsia"/>
          <w:kern w:val="0"/>
        </w:rPr>
        <w:t>根据本市分时电价政策划分交易时段</w:t>
      </w:r>
      <w:r>
        <w:rPr>
          <w:kern w:val="0"/>
        </w:rPr>
        <w:t>。电网企业为参与直接交易市场的用户、售电公司提供历史用电数据查询服务，供市场主体签约时参考。</w:t>
      </w:r>
      <w:r>
        <w:rPr>
          <w:rFonts w:hint="eastAsia"/>
          <w:kern w:val="0"/>
        </w:rPr>
        <w:t>鼓励</w:t>
      </w:r>
      <w:r>
        <w:rPr>
          <w:kern w:val="0"/>
        </w:rPr>
        <w:t>开展分时段申报、交易、结算、考核。</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（二）交易价格机制</w:t>
      </w:r>
    </w:p>
    <w:p w:rsidR="00D7409C" w:rsidRDefault="00D7409C" w:rsidP="00D7409C">
      <w:pPr>
        <w:autoSpaceDN w:val="0"/>
        <w:adjustRightInd w:val="0"/>
        <w:snapToGrid w:val="0"/>
        <w:spacing w:line="540" w:lineRule="exact"/>
        <w:ind w:firstLine="640"/>
        <w:rPr>
          <w:kern w:val="0"/>
        </w:rPr>
      </w:pPr>
      <w:r>
        <w:rPr>
          <w:kern w:val="0"/>
        </w:rPr>
        <w:t>1.</w:t>
      </w:r>
      <w:r>
        <w:rPr>
          <w:rFonts w:hint="eastAsia"/>
          <w:kern w:val="0"/>
        </w:rPr>
        <w:t xml:space="preserve"> </w:t>
      </w:r>
      <w:r>
        <w:rPr>
          <w:kern w:val="0"/>
        </w:rPr>
        <w:t>直接交易用户的电价由发电企业、售电公司与用户的市场交易电价、电力保障综合费用、辅助服务费用</w:t>
      </w:r>
      <w:r>
        <w:rPr>
          <w:rFonts w:hint="eastAsia"/>
          <w:kern w:val="0"/>
        </w:rPr>
        <w:t>、</w:t>
      </w:r>
      <w:r>
        <w:rPr>
          <w:kern w:val="0"/>
        </w:rPr>
        <w:t>输配电价（含线损及政策性交叉补贴）、政府性基金及附加</w:t>
      </w:r>
      <w:r>
        <w:rPr>
          <w:rFonts w:hint="eastAsia"/>
          <w:kern w:val="0"/>
        </w:rPr>
        <w:t>等</w:t>
      </w:r>
      <w:r>
        <w:rPr>
          <w:kern w:val="0"/>
        </w:rPr>
        <w:t>组成。</w:t>
      </w:r>
    </w:p>
    <w:p w:rsidR="00D7409C" w:rsidRDefault="00D7409C" w:rsidP="00D7409C">
      <w:pPr>
        <w:autoSpaceDN w:val="0"/>
        <w:adjustRightInd w:val="0"/>
        <w:snapToGrid w:val="0"/>
        <w:spacing w:line="540" w:lineRule="exact"/>
        <w:ind w:firstLine="640"/>
        <w:rPr>
          <w:rFonts w:hint="eastAsia"/>
          <w:kern w:val="0"/>
        </w:rPr>
      </w:pPr>
      <w:r>
        <w:rPr>
          <w:kern w:val="0"/>
        </w:rPr>
        <w:t>2.</w:t>
      </w:r>
      <w:r>
        <w:rPr>
          <w:rFonts w:hint="eastAsia"/>
          <w:kern w:val="0"/>
        </w:rPr>
        <w:t xml:space="preserve"> </w:t>
      </w:r>
      <w:r>
        <w:rPr>
          <w:kern w:val="0"/>
        </w:rPr>
        <w:t>电力保障综合费用由本市价格主管部门确定，按月由全市全体工商业及其他用户分摊或分享。</w:t>
      </w:r>
    </w:p>
    <w:p w:rsidR="00D7409C" w:rsidRDefault="00D7409C" w:rsidP="00D7409C">
      <w:pPr>
        <w:autoSpaceDN w:val="0"/>
        <w:adjustRightInd w:val="0"/>
        <w:snapToGrid w:val="0"/>
        <w:spacing w:line="540" w:lineRule="exact"/>
        <w:ind w:firstLineChars="200" w:firstLine="616"/>
        <w:rPr>
          <w:rFonts w:hint="eastAsia"/>
          <w:kern w:val="0"/>
        </w:rPr>
      </w:pPr>
      <w:r>
        <w:rPr>
          <w:kern w:val="0"/>
        </w:rPr>
        <w:t>3.</w:t>
      </w:r>
      <w:r>
        <w:rPr>
          <w:rFonts w:hint="eastAsia"/>
          <w:kern w:val="0"/>
        </w:rPr>
        <w:t xml:space="preserve"> </w:t>
      </w:r>
      <w:r>
        <w:rPr>
          <w:rFonts w:hint="eastAsia"/>
          <w:kern w:val="0"/>
        </w:rPr>
        <w:t>燃煤发电上网电价按照“基准价</w:t>
      </w:r>
      <w:r>
        <w:rPr>
          <w:rFonts w:hint="eastAsia"/>
          <w:kern w:val="0"/>
        </w:rPr>
        <w:t>+</w:t>
      </w:r>
      <w:r>
        <w:rPr>
          <w:rFonts w:hint="eastAsia"/>
          <w:kern w:val="0"/>
        </w:rPr>
        <w:t>上下浮动”机制签订直接交易合同，上下浮动范围原则上不超过</w:t>
      </w:r>
      <w:r>
        <w:rPr>
          <w:rFonts w:hint="eastAsia"/>
          <w:kern w:val="0"/>
        </w:rPr>
        <w:t>20%</w:t>
      </w:r>
      <w:r>
        <w:rPr>
          <w:rFonts w:hint="eastAsia"/>
          <w:kern w:val="0"/>
        </w:rPr>
        <w:t>，涉高耗能企业市场交易电价不受上浮</w:t>
      </w:r>
      <w:r>
        <w:rPr>
          <w:rFonts w:hint="eastAsia"/>
          <w:kern w:val="0"/>
        </w:rPr>
        <w:t>20%</w:t>
      </w:r>
      <w:r>
        <w:rPr>
          <w:rFonts w:hint="eastAsia"/>
          <w:kern w:val="0"/>
        </w:rPr>
        <w:t>限制。按照国家</w:t>
      </w:r>
      <w:proofErr w:type="gramStart"/>
      <w:r>
        <w:rPr>
          <w:rFonts w:hint="eastAsia"/>
          <w:kern w:val="0"/>
        </w:rPr>
        <w:t>发改委相关</w:t>
      </w:r>
      <w:proofErr w:type="gramEnd"/>
      <w:r>
        <w:rPr>
          <w:rFonts w:hint="eastAsia"/>
          <w:kern w:val="0"/>
        </w:rPr>
        <w:t>规定要求，购</w:t>
      </w:r>
      <w:proofErr w:type="gramStart"/>
      <w:r>
        <w:rPr>
          <w:rFonts w:hint="eastAsia"/>
          <w:kern w:val="0"/>
        </w:rPr>
        <w:t>售双方</w:t>
      </w:r>
      <w:proofErr w:type="gramEnd"/>
      <w:r>
        <w:rPr>
          <w:rFonts w:hint="eastAsia"/>
          <w:kern w:val="0"/>
        </w:rPr>
        <w:t>应在直接交易合同签订中明确交易电价随燃料成本变化合理浮动条款，实现交易电价与煤炭价格挂钩联动，促进市场平稳有序运行。</w:t>
      </w:r>
    </w:p>
    <w:p w:rsidR="00D7409C" w:rsidRDefault="00D7409C" w:rsidP="00D7409C">
      <w:pPr>
        <w:autoSpaceDN w:val="0"/>
        <w:adjustRightInd w:val="0"/>
        <w:snapToGrid w:val="0"/>
        <w:spacing w:line="540" w:lineRule="exact"/>
        <w:ind w:firstLineChars="200" w:firstLine="616"/>
        <w:rPr>
          <w:kern w:val="0"/>
        </w:rPr>
      </w:pPr>
      <w:r>
        <w:rPr>
          <w:kern w:val="0"/>
        </w:rPr>
        <w:t>4.</w:t>
      </w:r>
      <w:r>
        <w:rPr>
          <w:rFonts w:hint="eastAsia"/>
          <w:kern w:val="0"/>
        </w:rPr>
        <w:t xml:space="preserve"> </w:t>
      </w:r>
      <w:r>
        <w:rPr>
          <w:rFonts w:hint="eastAsia"/>
          <w:kern w:val="0"/>
        </w:rPr>
        <w:t>做好交易电价</w:t>
      </w:r>
      <w:r>
        <w:rPr>
          <w:kern w:val="0"/>
        </w:rPr>
        <w:t>与分时电价政策衔接。交易双方签订分时</w:t>
      </w:r>
      <w:r>
        <w:rPr>
          <w:kern w:val="0"/>
        </w:rPr>
        <w:lastRenderedPageBreak/>
        <w:t>段合同，应约定峰谷时段交易电价。市场交易合同未申报用电曲线</w:t>
      </w:r>
      <w:r>
        <w:rPr>
          <w:rFonts w:hint="eastAsia"/>
          <w:kern w:val="0"/>
        </w:rPr>
        <w:t>和</w:t>
      </w:r>
      <w:r>
        <w:rPr>
          <w:kern w:val="0"/>
        </w:rPr>
        <w:t>市场电价峰谷比例低于本市指导价的，</w:t>
      </w:r>
      <w:r>
        <w:rPr>
          <w:rFonts w:hint="eastAsia"/>
          <w:kern w:val="0"/>
        </w:rPr>
        <w:t>结算时按本市分时电价、季节性电价政策规定的时段划分及浮动比例执行。</w:t>
      </w:r>
    </w:p>
    <w:p w:rsidR="00D7409C" w:rsidRDefault="00D7409C" w:rsidP="00D7409C">
      <w:pPr>
        <w:autoSpaceDN w:val="0"/>
        <w:adjustRightInd w:val="0"/>
        <w:snapToGrid w:val="0"/>
        <w:spacing w:line="540" w:lineRule="exact"/>
        <w:ind w:firstLine="640"/>
        <w:rPr>
          <w:rFonts w:eastAsia="黑体"/>
          <w:kern w:val="0"/>
          <w:szCs w:val="24"/>
        </w:rPr>
      </w:pPr>
      <w:r>
        <w:rPr>
          <w:rFonts w:eastAsia="黑体"/>
          <w:kern w:val="0"/>
          <w:szCs w:val="24"/>
        </w:rPr>
        <w:t>四、直接交易的组织程序</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（一）注册绑定</w:t>
      </w:r>
    </w:p>
    <w:p w:rsidR="00D7409C" w:rsidRDefault="00D7409C" w:rsidP="00D7409C">
      <w:pPr>
        <w:autoSpaceDN w:val="0"/>
        <w:adjustRightInd w:val="0"/>
        <w:snapToGrid w:val="0"/>
        <w:spacing w:line="540" w:lineRule="exact"/>
        <w:ind w:firstLine="640"/>
        <w:rPr>
          <w:kern w:val="0"/>
        </w:rPr>
      </w:pPr>
      <w:r>
        <w:rPr>
          <w:kern w:val="0"/>
        </w:rPr>
        <w:t>1.</w:t>
      </w:r>
      <w:r>
        <w:rPr>
          <w:rFonts w:hint="eastAsia"/>
          <w:kern w:val="0"/>
        </w:rPr>
        <w:t xml:space="preserve"> </w:t>
      </w:r>
      <w:r>
        <w:rPr>
          <w:kern w:val="0"/>
        </w:rPr>
        <w:t>市电</w:t>
      </w:r>
      <w:proofErr w:type="gramStart"/>
      <w:r>
        <w:rPr>
          <w:kern w:val="0"/>
        </w:rPr>
        <w:t>力交易</w:t>
      </w:r>
      <w:proofErr w:type="gramEnd"/>
      <w:r>
        <w:rPr>
          <w:kern w:val="0"/>
        </w:rPr>
        <w:t>中心组织开展新用户、售电公司的注册、绑定、公示、结算等工作。相关工作原则上全部采用线上办理的方式。</w:t>
      </w:r>
    </w:p>
    <w:p w:rsidR="00D7409C" w:rsidRDefault="00D7409C" w:rsidP="00D7409C">
      <w:pPr>
        <w:autoSpaceDN w:val="0"/>
        <w:adjustRightInd w:val="0"/>
        <w:snapToGrid w:val="0"/>
        <w:spacing w:line="540" w:lineRule="exact"/>
        <w:ind w:firstLine="640"/>
        <w:rPr>
          <w:kern w:val="0"/>
        </w:rPr>
      </w:pPr>
      <w:r>
        <w:rPr>
          <w:kern w:val="0"/>
        </w:rPr>
        <w:t>2.</w:t>
      </w:r>
      <w:r>
        <w:rPr>
          <w:rFonts w:hint="eastAsia"/>
          <w:kern w:val="0"/>
        </w:rPr>
        <w:t xml:space="preserve"> </w:t>
      </w:r>
      <w:r>
        <w:rPr>
          <w:kern w:val="0"/>
        </w:rPr>
        <w:t>符合准入条件的新用户、售电公司需在上海电力交易中心完成注册工作，成为合格市场主体。</w:t>
      </w:r>
    </w:p>
    <w:p w:rsidR="00D7409C" w:rsidRDefault="00D7409C" w:rsidP="00D7409C">
      <w:pPr>
        <w:autoSpaceDN w:val="0"/>
        <w:adjustRightInd w:val="0"/>
        <w:snapToGrid w:val="0"/>
        <w:spacing w:line="540" w:lineRule="exact"/>
        <w:ind w:firstLine="640"/>
        <w:rPr>
          <w:kern w:val="0"/>
        </w:rPr>
      </w:pPr>
      <w:r>
        <w:rPr>
          <w:kern w:val="0"/>
        </w:rPr>
        <w:t>3.</w:t>
      </w:r>
      <w:r>
        <w:rPr>
          <w:rFonts w:hint="eastAsia"/>
          <w:kern w:val="0"/>
        </w:rPr>
        <w:t xml:space="preserve"> </w:t>
      </w:r>
      <w:r>
        <w:rPr>
          <w:kern w:val="0"/>
        </w:rPr>
        <w:t>市电</w:t>
      </w:r>
      <w:proofErr w:type="gramStart"/>
      <w:r>
        <w:rPr>
          <w:kern w:val="0"/>
        </w:rPr>
        <w:t>力交易</w:t>
      </w:r>
      <w:proofErr w:type="gramEnd"/>
      <w:r>
        <w:rPr>
          <w:kern w:val="0"/>
        </w:rPr>
        <w:t>中心按月向主管部门备案新用户、售电公司注册情况，并定期向社会公布。</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w:t>
      </w:r>
      <w:r>
        <w:rPr>
          <w:rFonts w:ascii="楷体_GB2312" w:eastAsia="楷体_GB2312" w:hint="eastAsia"/>
          <w:b/>
          <w:kern w:val="0"/>
          <w:szCs w:val="24"/>
        </w:rPr>
        <w:t>二</w:t>
      </w:r>
      <w:r>
        <w:rPr>
          <w:rFonts w:ascii="楷体_GB2312" w:eastAsia="楷体_GB2312"/>
          <w:b/>
          <w:kern w:val="0"/>
          <w:szCs w:val="24"/>
        </w:rPr>
        <w:t>）市场交易</w:t>
      </w:r>
    </w:p>
    <w:p w:rsidR="00D7409C" w:rsidRDefault="00D7409C" w:rsidP="00D7409C">
      <w:pPr>
        <w:autoSpaceDN w:val="0"/>
        <w:adjustRightInd w:val="0"/>
        <w:snapToGrid w:val="0"/>
        <w:spacing w:line="540" w:lineRule="exact"/>
        <w:ind w:firstLine="640"/>
        <w:rPr>
          <w:kern w:val="0"/>
        </w:rPr>
      </w:pPr>
      <w:r>
        <w:rPr>
          <w:kern w:val="0"/>
        </w:rPr>
        <w:t>1.</w:t>
      </w:r>
      <w:r>
        <w:rPr>
          <w:rFonts w:hint="eastAsia"/>
          <w:kern w:val="0"/>
        </w:rPr>
        <w:t xml:space="preserve"> </w:t>
      </w:r>
      <w:r>
        <w:rPr>
          <w:kern w:val="0"/>
        </w:rPr>
        <w:t>每次交易开展前，上海电力交易中心通过电力交易平台发布市场交易公告，组织开展直接交易。</w:t>
      </w:r>
    </w:p>
    <w:p w:rsidR="00D7409C" w:rsidRDefault="00D7409C" w:rsidP="00D7409C">
      <w:pPr>
        <w:autoSpaceDN w:val="0"/>
        <w:adjustRightInd w:val="0"/>
        <w:snapToGrid w:val="0"/>
        <w:spacing w:line="540" w:lineRule="exact"/>
        <w:ind w:firstLine="640"/>
        <w:rPr>
          <w:kern w:val="0"/>
        </w:rPr>
      </w:pPr>
      <w:r>
        <w:rPr>
          <w:kern w:val="0"/>
        </w:rPr>
        <w:t>2.</w:t>
      </w:r>
      <w:r>
        <w:rPr>
          <w:rFonts w:hint="eastAsia"/>
          <w:kern w:val="0"/>
        </w:rPr>
        <w:t xml:space="preserve"> </w:t>
      </w:r>
      <w:r>
        <w:rPr>
          <w:kern w:val="0"/>
        </w:rPr>
        <w:t>具体交易方式和交易参数等在市场交易公告中予以明确，公告内容主要包括准入范围、交易方式、交易周期、交易规模、交易价格机制、</w:t>
      </w:r>
      <w:r>
        <w:rPr>
          <w:rFonts w:hint="eastAsia"/>
          <w:kern w:val="0"/>
        </w:rPr>
        <w:t>交易限额</w:t>
      </w:r>
      <w:r>
        <w:rPr>
          <w:kern w:val="0"/>
        </w:rPr>
        <w:t>等内容。</w:t>
      </w:r>
    </w:p>
    <w:p w:rsidR="00D7409C" w:rsidRDefault="00D7409C" w:rsidP="00D7409C">
      <w:pPr>
        <w:autoSpaceDN w:val="0"/>
        <w:adjustRightInd w:val="0"/>
        <w:snapToGrid w:val="0"/>
        <w:spacing w:line="540" w:lineRule="exact"/>
        <w:ind w:firstLine="640"/>
        <w:rPr>
          <w:kern w:val="0"/>
        </w:rPr>
      </w:pPr>
      <w:r>
        <w:rPr>
          <w:kern w:val="0"/>
        </w:rPr>
        <w:t>3.</w:t>
      </w:r>
      <w:r>
        <w:rPr>
          <w:rFonts w:hint="eastAsia"/>
          <w:kern w:val="0"/>
        </w:rPr>
        <w:t xml:space="preserve"> </w:t>
      </w:r>
      <w:r>
        <w:rPr>
          <w:kern w:val="0"/>
        </w:rPr>
        <w:t>市场主体按照交易安排通过电力交易平台完成交易。</w:t>
      </w:r>
    </w:p>
    <w:p w:rsidR="00D7409C" w:rsidRDefault="00D7409C" w:rsidP="00D7409C">
      <w:pPr>
        <w:autoSpaceDN w:val="0"/>
        <w:adjustRightInd w:val="0"/>
        <w:snapToGrid w:val="0"/>
        <w:spacing w:line="540" w:lineRule="exact"/>
        <w:ind w:firstLine="640"/>
        <w:rPr>
          <w:rFonts w:ascii="楷体_GB2312" w:eastAsia="楷体_GB2312"/>
          <w:b/>
          <w:kern w:val="0"/>
          <w:szCs w:val="24"/>
        </w:rPr>
      </w:pPr>
      <w:r>
        <w:rPr>
          <w:rFonts w:ascii="楷体_GB2312" w:eastAsia="楷体_GB2312"/>
          <w:b/>
          <w:kern w:val="0"/>
          <w:szCs w:val="24"/>
        </w:rPr>
        <w:t>（</w:t>
      </w:r>
      <w:r>
        <w:rPr>
          <w:rFonts w:ascii="楷体_GB2312" w:eastAsia="楷体_GB2312" w:hint="eastAsia"/>
          <w:b/>
          <w:kern w:val="0"/>
          <w:szCs w:val="24"/>
        </w:rPr>
        <w:t>三</w:t>
      </w:r>
      <w:r>
        <w:rPr>
          <w:rFonts w:ascii="楷体_GB2312" w:eastAsia="楷体_GB2312"/>
          <w:b/>
          <w:kern w:val="0"/>
          <w:szCs w:val="24"/>
        </w:rPr>
        <w:t>）安全校核</w:t>
      </w:r>
    </w:p>
    <w:p w:rsidR="00D7409C" w:rsidRDefault="00D7409C" w:rsidP="00D7409C">
      <w:pPr>
        <w:autoSpaceDN w:val="0"/>
        <w:adjustRightInd w:val="0"/>
        <w:snapToGrid w:val="0"/>
        <w:spacing w:line="540" w:lineRule="exact"/>
        <w:ind w:firstLine="640"/>
        <w:rPr>
          <w:kern w:val="0"/>
        </w:rPr>
      </w:pPr>
      <w:r>
        <w:rPr>
          <w:kern w:val="0"/>
        </w:rPr>
        <w:t>上海电力调度机构对已达成交易提出电网安全校核意见，并由上海电力交易中心发布通过安全校核的市场交易结果。</w:t>
      </w:r>
    </w:p>
    <w:p w:rsidR="00D7409C" w:rsidRDefault="00D7409C" w:rsidP="00D7409C">
      <w:pPr>
        <w:autoSpaceDN w:val="0"/>
        <w:adjustRightInd w:val="0"/>
        <w:snapToGrid w:val="0"/>
        <w:spacing w:line="540" w:lineRule="exact"/>
        <w:ind w:firstLine="640"/>
        <w:rPr>
          <w:rFonts w:eastAsia="黑体"/>
          <w:kern w:val="0"/>
          <w:szCs w:val="24"/>
        </w:rPr>
      </w:pPr>
      <w:r>
        <w:rPr>
          <w:rFonts w:ascii="楷体_GB2312" w:eastAsia="楷体_GB2312"/>
          <w:b/>
          <w:kern w:val="0"/>
          <w:szCs w:val="24"/>
        </w:rPr>
        <w:t>（</w:t>
      </w:r>
      <w:r>
        <w:rPr>
          <w:rFonts w:ascii="楷体_GB2312" w:eastAsia="楷体_GB2312" w:hint="eastAsia"/>
          <w:b/>
          <w:kern w:val="0"/>
          <w:szCs w:val="24"/>
        </w:rPr>
        <w:t>四</w:t>
      </w:r>
      <w:r>
        <w:rPr>
          <w:rFonts w:ascii="楷体_GB2312" w:eastAsia="楷体_GB2312"/>
          <w:b/>
          <w:kern w:val="0"/>
          <w:szCs w:val="24"/>
        </w:rPr>
        <w:t>）合同签订</w:t>
      </w:r>
    </w:p>
    <w:p w:rsidR="00D7409C" w:rsidRDefault="00D7409C" w:rsidP="00D7409C">
      <w:pPr>
        <w:autoSpaceDN w:val="0"/>
        <w:adjustRightInd w:val="0"/>
        <w:snapToGrid w:val="0"/>
        <w:spacing w:line="540" w:lineRule="exact"/>
        <w:ind w:firstLine="640"/>
        <w:rPr>
          <w:kern w:val="0"/>
        </w:rPr>
      </w:pPr>
      <w:r>
        <w:rPr>
          <w:kern w:val="0"/>
        </w:rPr>
        <w:t xml:space="preserve">1. </w:t>
      </w:r>
      <w:r>
        <w:rPr>
          <w:rFonts w:hint="eastAsia"/>
          <w:kern w:val="0"/>
        </w:rPr>
        <w:t>合同要素</w:t>
      </w:r>
      <w:r>
        <w:rPr>
          <w:kern w:val="0"/>
        </w:rPr>
        <w:t>应齐全，包括市场交易承诺书、市场交易公告、市场交易结果等必要要素。</w:t>
      </w:r>
    </w:p>
    <w:p w:rsidR="00D7409C" w:rsidRDefault="00D7409C" w:rsidP="00D7409C">
      <w:pPr>
        <w:autoSpaceDN w:val="0"/>
        <w:adjustRightInd w:val="0"/>
        <w:snapToGrid w:val="0"/>
        <w:spacing w:line="540" w:lineRule="exact"/>
        <w:ind w:firstLine="640"/>
        <w:rPr>
          <w:kern w:val="0"/>
        </w:rPr>
      </w:pPr>
      <w:r>
        <w:rPr>
          <w:kern w:val="0"/>
        </w:rPr>
        <w:lastRenderedPageBreak/>
        <w:t xml:space="preserve">2. </w:t>
      </w:r>
      <w:r>
        <w:rPr>
          <w:kern w:val="0"/>
        </w:rPr>
        <w:t>交易合同实行电子化管理，不再签订纸质合同。市场交易结果发布后，交易合同即成立生效。</w:t>
      </w:r>
    </w:p>
    <w:p w:rsidR="00D7409C" w:rsidRDefault="00D7409C" w:rsidP="00D7409C">
      <w:pPr>
        <w:autoSpaceDN w:val="0"/>
        <w:adjustRightInd w:val="0"/>
        <w:snapToGrid w:val="0"/>
        <w:spacing w:line="540" w:lineRule="exact"/>
        <w:ind w:firstLine="640"/>
        <w:rPr>
          <w:rFonts w:eastAsia="黑体"/>
          <w:kern w:val="0"/>
          <w:szCs w:val="24"/>
        </w:rPr>
      </w:pPr>
      <w:r>
        <w:rPr>
          <w:rFonts w:eastAsia="黑体"/>
          <w:kern w:val="0"/>
          <w:szCs w:val="24"/>
        </w:rPr>
        <w:t>五、其他</w:t>
      </w:r>
    </w:p>
    <w:p w:rsidR="00D7409C" w:rsidRDefault="00D7409C" w:rsidP="00D7409C">
      <w:pPr>
        <w:autoSpaceDN w:val="0"/>
        <w:adjustRightInd w:val="0"/>
        <w:snapToGrid w:val="0"/>
        <w:spacing w:line="540" w:lineRule="exact"/>
        <w:ind w:firstLine="640"/>
        <w:rPr>
          <w:kern w:val="0"/>
        </w:rPr>
      </w:pPr>
      <w:r>
        <w:rPr>
          <w:kern w:val="0"/>
        </w:rPr>
        <w:t>1.</w:t>
      </w:r>
      <w:r>
        <w:rPr>
          <w:rFonts w:hint="eastAsia"/>
          <w:kern w:val="0"/>
        </w:rPr>
        <w:t xml:space="preserve"> </w:t>
      </w:r>
      <w:r>
        <w:rPr>
          <w:kern w:val="0"/>
        </w:rPr>
        <w:t>市电力公司营销系统应按月推送用户用电信息至交易系统，电力用户及其签约的售电公司可登陆交易系统查看用户自身的用电信息和交易电量结算情况。</w:t>
      </w:r>
    </w:p>
    <w:p w:rsidR="00D7409C" w:rsidRDefault="00D7409C" w:rsidP="00D7409C">
      <w:pPr>
        <w:autoSpaceDN w:val="0"/>
        <w:adjustRightInd w:val="0"/>
        <w:snapToGrid w:val="0"/>
        <w:spacing w:line="540" w:lineRule="exact"/>
        <w:ind w:firstLine="640"/>
        <w:rPr>
          <w:kern w:val="0"/>
        </w:rPr>
      </w:pPr>
      <w:r>
        <w:rPr>
          <w:rFonts w:hint="eastAsia"/>
          <w:kern w:val="0"/>
        </w:rPr>
        <w:t>2</w:t>
      </w:r>
      <w:r>
        <w:rPr>
          <w:kern w:val="0"/>
        </w:rPr>
        <w:t xml:space="preserve">. </w:t>
      </w:r>
      <w:r>
        <w:rPr>
          <w:kern w:val="0"/>
        </w:rPr>
        <w:t>本方案未尽事宜按照相关政策文件以及直接交易规则办理。</w:t>
      </w:r>
    </w:p>
    <w:p w:rsidR="00D7409C" w:rsidRDefault="00D7409C" w:rsidP="00D7409C">
      <w:pPr>
        <w:autoSpaceDN w:val="0"/>
        <w:adjustRightInd w:val="0"/>
        <w:snapToGrid w:val="0"/>
        <w:spacing w:line="540" w:lineRule="exact"/>
        <w:ind w:firstLine="640"/>
        <w:rPr>
          <w:rFonts w:hint="eastAsia"/>
          <w:kern w:val="0"/>
        </w:rPr>
      </w:pPr>
      <w:r>
        <w:rPr>
          <w:rFonts w:hint="eastAsia"/>
          <w:kern w:val="0"/>
        </w:rPr>
        <w:t>3</w:t>
      </w:r>
      <w:r>
        <w:rPr>
          <w:kern w:val="0"/>
        </w:rPr>
        <w:t xml:space="preserve">. </w:t>
      </w:r>
      <w:r>
        <w:rPr>
          <w:kern w:val="0"/>
        </w:rPr>
        <w:t>本方案印发后，请上海电力交易中心会同有关各方，</w:t>
      </w:r>
      <w:r>
        <w:rPr>
          <w:rFonts w:hint="eastAsia"/>
          <w:kern w:val="0"/>
        </w:rPr>
        <w:t>按照</w:t>
      </w:r>
      <w:r>
        <w:rPr>
          <w:rFonts w:hint="eastAsia"/>
          <w:szCs w:val="32"/>
        </w:rPr>
        <w:t>《国家发展改革委办公厅关于做好</w:t>
      </w:r>
      <w:r>
        <w:rPr>
          <w:rFonts w:hint="eastAsia"/>
          <w:szCs w:val="32"/>
        </w:rPr>
        <w:t>2022</w:t>
      </w:r>
      <w:r>
        <w:rPr>
          <w:rFonts w:hint="eastAsia"/>
          <w:szCs w:val="32"/>
        </w:rPr>
        <w:t>年能源中长期合同签订履约工作的通知》（</w:t>
      </w:r>
      <w:proofErr w:type="gramStart"/>
      <w:r>
        <w:rPr>
          <w:rFonts w:hint="eastAsia"/>
          <w:szCs w:val="32"/>
        </w:rPr>
        <w:t>发改电</w:t>
      </w:r>
      <w:proofErr w:type="gramEnd"/>
      <w:r>
        <w:rPr>
          <w:szCs w:val="32"/>
        </w:rPr>
        <w:t>〔</w:t>
      </w:r>
      <w:r>
        <w:rPr>
          <w:szCs w:val="32"/>
        </w:rPr>
        <w:t>2021</w:t>
      </w:r>
      <w:r>
        <w:rPr>
          <w:szCs w:val="32"/>
        </w:rPr>
        <w:t>〕</w:t>
      </w:r>
      <w:r>
        <w:rPr>
          <w:rFonts w:hint="eastAsia"/>
          <w:szCs w:val="32"/>
        </w:rPr>
        <w:t>365</w:t>
      </w:r>
      <w:r>
        <w:rPr>
          <w:rFonts w:hint="eastAsia"/>
          <w:szCs w:val="32"/>
        </w:rPr>
        <w:t>号）规定的时间要求，</w:t>
      </w:r>
      <w:r>
        <w:rPr>
          <w:kern w:val="0"/>
        </w:rPr>
        <w:t>依据本通知尽快组织开展交易。</w:t>
      </w:r>
    </w:p>
    <w:p w:rsidR="00D7409C" w:rsidRDefault="00D7409C" w:rsidP="00D7409C"/>
    <w:p w:rsidR="008F61CD" w:rsidRPr="00D7409C" w:rsidRDefault="008F61CD"/>
    <w:sectPr w:rsidR="008F61CD" w:rsidRPr="00D7409C"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09C"/>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3C"/>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989"/>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96265"/>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09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9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2094</Characters>
  <Application>Microsoft Office Word</Application>
  <DocSecurity>0</DocSecurity>
  <Lines>17</Lines>
  <Paragraphs>4</Paragraphs>
  <ScaleCrop>false</ScaleCrop>
  <Company>Microsoft</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2021-12-25T01:23:00Z</dcterms:created>
  <dcterms:modified xsi:type="dcterms:W3CDTF">2021-12-25T01:23:00Z</dcterms:modified>
</cp:coreProperties>
</file>