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E7" w:rsidRDefault="00C30EE7" w:rsidP="00C30EE7">
      <w:pPr>
        <w:pStyle w:val="1"/>
        <w:spacing w:before="0" w:after="0" w:line="480" w:lineRule="exact"/>
        <w:rPr>
          <w:rFonts w:ascii="黑体" w:eastAsia="黑体" w:hAnsi="黑体" w:cs="黑体" w:hint="eastAsia"/>
          <w:b w:val="0"/>
          <w:sz w:val="32"/>
        </w:rPr>
      </w:pPr>
      <w:r>
        <w:rPr>
          <w:rFonts w:ascii="黑体" w:eastAsia="黑体" w:hAnsi="黑体" w:cs="黑体" w:hint="eastAsia"/>
          <w:b w:val="0"/>
          <w:sz w:val="32"/>
        </w:rPr>
        <w:t>附件1</w:t>
      </w:r>
    </w:p>
    <w:p w:rsidR="00C30EE7" w:rsidRDefault="00C30EE7" w:rsidP="00C30EE7">
      <w:pPr>
        <w:spacing w:line="48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工业领域上海能效“领跑者”评分标准</w:t>
      </w:r>
    </w:p>
    <w:tbl>
      <w:tblPr>
        <w:tblW w:w="14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1994"/>
        <w:gridCol w:w="1858"/>
        <w:gridCol w:w="7805"/>
        <w:gridCol w:w="1007"/>
        <w:gridCol w:w="933"/>
      </w:tblGrid>
      <w:tr w:rsidR="00C30EE7" w:rsidTr="00F511EE">
        <w:trPr>
          <w:trHeight w:val="168"/>
          <w:tblHeader/>
          <w:jc w:val="center"/>
        </w:trPr>
        <w:tc>
          <w:tcPr>
            <w:tcW w:w="755" w:type="dxa"/>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序号</w:t>
            </w:r>
          </w:p>
        </w:tc>
        <w:tc>
          <w:tcPr>
            <w:tcW w:w="1994" w:type="dxa"/>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指标名称</w:t>
            </w:r>
          </w:p>
        </w:tc>
        <w:tc>
          <w:tcPr>
            <w:tcW w:w="9663" w:type="dxa"/>
            <w:gridSpan w:val="2"/>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评价内容</w:t>
            </w:r>
          </w:p>
        </w:tc>
        <w:tc>
          <w:tcPr>
            <w:tcW w:w="1007" w:type="dxa"/>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分值</w:t>
            </w:r>
          </w:p>
        </w:tc>
        <w:tc>
          <w:tcPr>
            <w:tcW w:w="933" w:type="dxa"/>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标准分</w:t>
            </w:r>
          </w:p>
        </w:tc>
      </w:tr>
      <w:tr w:rsidR="00C30EE7" w:rsidTr="00F511EE">
        <w:trPr>
          <w:trHeight w:val="130"/>
          <w:jc w:val="center"/>
        </w:trPr>
        <w:tc>
          <w:tcPr>
            <w:tcW w:w="14352" w:type="dxa"/>
            <w:gridSpan w:val="6"/>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1、能效水平项（70分）</w:t>
            </w:r>
          </w:p>
        </w:tc>
      </w:tr>
      <w:tr w:rsidR="00C30EE7" w:rsidTr="00F511EE">
        <w:trPr>
          <w:trHeight w:val="300"/>
          <w:jc w:val="center"/>
        </w:trPr>
        <w:tc>
          <w:tcPr>
            <w:tcW w:w="755" w:type="dxa"/>
            <w:vMerge w:val="restart"/>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1.1</w:t>
            </w:r>
          </w:p>
        </w:tc>
        <w:tc>
          <w:tcPr>
            <w:tcW w:w="1994" w:type="dxa"/>
            <w:vMerge w:val="restart"/>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单耗水平</w:t>
            </w:r>
          </w:p>
        </w:tc>
        <w:tc>
          <w:tcPr>
            <w:tcW w:w="11603" w:type="dxa"/>
            <w:gridSpan w:val="4"/>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考察单耗指标是否达到了先进水平以及优于先进水平的程度</w:t>
            </w: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优于国家和本市能耗限额先进值10%及以上（含）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70</w:t>
            </w:r>
          </w:p>
        </w:tc>
        <w:tc>
          <w:tcPr>
            <w:tcW w:w="933" w:type="dxa"/>
            <w:vMerge w:val="restart"/>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70</w:t>
            </w: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优于国家和本市能耗限额先进值8%（含）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65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优于国家和本市能耗限额先进值6%（含）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60</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优于国家和本市能耗限额先进值4%（含）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55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优于国家和本市能耗限额先进值2%（含）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50</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达到能耗限额标准先进值(注：对于既涉及国标又涉及地标的，以先进的为评价依据)</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45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109"/>
          <w:jc w:val="center"/>
        </w:trPr>
        <w:tc>
          <w:tcPr>
            <w:tcW w:w="14352" w:type="dxa"/>
            <w:gridSpan w:val="6"/>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2、节能措施项(30分)</w:t>
            </w:r>
          </w:p>
        </w:tc>
      </w:tr>
      <w:tr w:rsidR="00C30EE7" w:rsidTr="00F511EE">
        <w:trPr>
          <w:trHeight w:val="70"/>
          <w:jc w:val="center"/>
        </w:trPr>
        <w:tc>
          <w:tcPr>
            <w:tcW w:w="14352" w:type="dxa"/>
            <w:gridSpan w:val="6"/>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 xml:space="preserve"> （未通过能源管理体系认证的，按照第2.1-2.3项进行评价；通过能源管理体系认证的，2.1-2.3项得满分，共10分）</w:t>
            </w:r>
          </w:p>
        </w:tc>
      </w:tr>
      <w:tr w:rsidR="00C30EE7" w:rsidTr="00F511EE">
        <w:trPr>
          <w:trHeight w:val="300"/>
          <w:jc w:val="center"/>
        </w:trPr>
        <w:tc>
          <w:tcPr>
            <w:tcW w:w="755" w:type="dxa"/>
            <w:vMerge w:val="restart"/>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2.1</w:t>
            </w:r>
          </w:p>
        </w:tc>
        <w:tc>
          <w:tcPr>
            <w:tcW w:w="1994" w:type="dxa"/>
            <w:vMerge w:val="restart"/>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能源管理制度及规章制度体系</w:t>
            </w:r>
          </w:p>
        </w:tc>
        <w:tc>
          <w:tcPr>
            <w:tcW w:w="9663" w:type="dxa"/>
            <w:gridSpan w:val="2"/>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1）制定完备的能源管理规章制度，且充分体现国家节能法律法规和地方节能政策</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0.4</w:t>
            </w:r>
          </w:p>
        </w:tc>
        <w:tc>
          <w:tcPr>
            <w:tcW w:w="933" w:type="dxa"/>
            <w:vMerge w:val="restart"/>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3</w:t>
            </w: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2）制定生产环节节能操作规范，日常用能行为规范</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0.4</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3）建立能耗计量和统计规范等相关管理规范</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0.4</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4）建立内部定期用能情况汇报及信息交流制度</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5）建立相应能源管理方面的文件记录和文档管理制度</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6）适时对政策、规章制度等进行必要的调整和改进</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7）通过公司网站、内部通告等公布企业的能源管理规章制度</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8）建立能源管理政策和制度规范执行情况的监督机制</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9）近三年内未发生重大安全、环境事故</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restart"/>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2.2</w:t>
            </w:r>
          </w:p>
        </w:tc>
        <w:tc>
          <w:tcPr>
            <w:tcW w:w="1994" w:type="dxa"/>
            <w:vMerge w:val="restart"/>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节能目标责任制和节能规划计划</w:t>
            </w:r>
          </w:p>
        </w:tc>
        <w:tc>
          <w:tcPr>
            <w:tcW w:w="1858" w:type="dxa"/>
            <w:vMerge w:val="restart"/>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1）节能目标责任制建设</w:t>
            </w:r>
          </w:p>
        </w:tc>
        <w:tc>
          <w:tcPr>
            <w:tcW w:w="7805" w:type="dxa"/>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建立年度节能目标责任制，有明确的节能目标</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restart"/>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4</w:t>
            </w: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将节能目标进行合理分解</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为完成节能目标，有具体的措施、工作计划和资金保障</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定期开展节能目标完成情况考评</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完成政府下达的节能量目标任务和节能考核指标的</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94"/>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restart"/>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2）节能规划计划</w:t>
            </w:r>
          </w:p>
        </w:tc>
        <w:tc>
          <w:tcPr>
            <w:tcW w:w="7805" w:type="dxa"/>
            <w:vAlign w:val="center"/>
          </w:tcPr>
          <w:p w:rsidR="00C30EE7" w:rsidRDefault="00C30EE7" w:rsidP="00F511EE">
            <w:pPr>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根据《企业节能规划编制通则》（GB/T 25329-2010），编制了节能规划</w:t>
            </w:r>
          </w:p>
        </w:tc>
        <w:tc>
          <w:tcPr>
            <w:tcW w:w="1007" w:type="dxa"/>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15"/>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p>
        </w:tc>
        <w:tc>
          <w:tcPr>
            <w:tcW w:w="7805" w:type="dxa"/>
            <w:vAlign w:val="center"/>
          </w:tcPr>
          <w:p w:rsidR="00C30EE7" w:rsidRDefault="00C30EE7" w:rsidP="00F511EE">
            <w:pPr>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节能规划和计划建立在对未来能耗总量及单耗水平趋势进行分析的基础上</w:t>
            </w:r>
          </w:p>
        </w:tc>
        <w:tc>
          <w:tcPr>
            <w:tcW w:w="1007" w:type="dxa"/>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restart"/>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2.3</w:t>
            </w:r>
          </w:p>
        </w:tc>
        <w:tc>
          <w:tcPr>
            <w:tcW w:w="1994" w:type="dxa"/>
            <w:vMerge w:val="restart"/>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能源管理人员的配备、管理、绩效考核及培训</w:t>
            </w: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1）建立有效的能源管理领导制度和工作体系</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restart"/>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3</w:t>
            </w: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2）节能工作机制实际有效运行</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3）能源管理机构、岗位（负责人）按要求进行备案</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4）能管人员具备专业技术能力、定期接受专业培训</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5）建立了节能奖惩制度</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restart"/>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2.4</w:t>
            </w:r>
          </w:p>
        </w:tc>
        <w:tc>
          <w:tcPr>
            <w:tcW w:w="1994" w:type="dxa"/>
            <w:vMerge w:val="restart"/>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收集分析用能情况，挖掘节能潜力</w:t>
            </w: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1）建立能源统计台帐</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restart"/>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3</w:t>
            </w: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2）编制年度能源消费综合平衡表，进行电、热、水平衡等综合分析</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3）掌握本单位各项设施、运行系统和用能设备的用能参数及能效状况，建立相关系统或设备、设施的能源档案</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restart"/>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4）能效诊断和节能挖潜</w:t>
            </w: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按照《企业能源审计技术通则》（GB/T 17166- 1997）开展全面能源审计</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根据能源审计和能效诊断结果，制定并落实节能整改措施</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restart"/>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2.5</w:t>
            </w:r>
          </w:p>
        </w:tc>
        <w:tc>
          <w:tcPr>
            <w:tcW w:w="1994" w:type="dxa"/>
            <w:vMerge w:val="restart"/>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用能计量、监测和报告</w:t>
            </w: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1）能源计量满足《用能单位能源计量器具配备和管理通则》（GB/T 17167-2006）等国家相关标准要求</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restart"/>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5</w:t>
            </w:r>
          </w:p>
        </w:tc>
      </w:tr>
      <w:tr w:rsidR="00C30EE7" w:rsidTr="00F511EE">
        <w:trPr>
          <w:trHeight w:val="15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restart"/>
            <w:vAlign w:val="center"/>
          </w:tcPr>
          <w:p w:rsidR="00C30EE7" w:rsidRDefault="00C30EE7" w:rsidP="00F511EE">
            <w:pPr>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2）能源在线监测系统建设</w:t>
            </w: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已经建成或正在开展能耗在线实时监测系统</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147"/>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已经建成或正在建设能源管理中心</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3）  动态监测主要产品能效指标</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4） 定期对相关部门节能工作进行评</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restart"/>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5）能源利用状况报告和节能月报</w:t>
            </w: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按要求报送年度能源利用状况报告</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按要求报送节能月报</w:t>
            </w:r>
          </w:p>
        </w:tc>
        <w:tc>
          <w:tcPr>
            <w:tcW w:w="1007" w:type="dxa"/>
            <w:vAlign w:val="center"/>
          </w:tcPr>
          <w:p w:rsidR="00C30EE7" w:rsidRDefault="00C30EE7" w:rsidP="00F511EE">
            <w:pPr>
              <w:widowControl/>
              <w:spacing w:line="280" w:lineRule="exact"/>
              <w:jc w:val="center"/>
              <w:rPr>
                <w:rFonts w:ascii="仿宋_GB2312" w:hAnsi="仿宋_GB2312" w:cs="仿宋_GB2312" w:hint="eastAsia"/>
                <w:b/>
                <w:color w:val="FF0000"/>
                <w:kern w:val="0"/>
                <w:sz w:val="21"/>
                <w:szCs w:val="21"/>
              </w:rPr>
            </w:pPr>
            <w:r>
              <w:rPr>
                <w:rFonts w:ascii="仿宋_GB2312" w:hAnsi="仿宋_GB2312" w:cs="仿宋_GB2312" w:hint="eastAsia"/>
                <w:color w:val="000000"/>
                <w:kern w:val="0"/>
                <w:sz w:val="21"/>
                <w:szCs w:val="21"/>
              </w:rPr>
              <w:t>1</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tcBorders>
              <w:bottom w:val="single" w:sz="4" w:space="0" w:color="auto"/>
            </w:tcBorders>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tcBorders>
              <w:bottom w:val="single" w:sz="4" w:space="0" w:color="auto"/>
            </w:tcBorders>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tcBorders>
              <w:bottom w:val="single" w:sz="4" w:space="0" w:color="auto"/>
            </w:tcBorders>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6） 对年度能源管理工作进行总结和下年度节能工作进行部署</w:t>
            </w:r>
          </w:p>
        </w:tc>
        <w:tc>
          <w:tcPr>
            <w:tcW w:w="1007" w:type="dxa"/>
            <w:tcBorders>
              <w:bottom w:val="single" w:sz="4" w:space="0" w:color="auto"/>
            </w:tcBorders>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0.2</w:t>
            </w:r>
          </w:p>
        </w:tc>
        <w:tc>
          <w:tcPr>
            <w:tcW w:w="933" w:type="dxa"/>
            <w:vMerge/>
            <w:tcBorders>
              <w:bottom w:val="single" w:sz="4" w:space="0" w:color="auto"/>
            </w:tcBorders>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restart"/>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2.6</w:t>
            </w:r>
          </w:p>
        </w:tc>
        <w:tc>
          <w:tcPr>
            <w:tcW w:w="1994" w:type="dxa"/>
            <w:vMerge w:val="restart"/>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采用先进节能技术措施和高效设备</w:t>
            </w: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1）设计开发新产品、新服务、设备采购及更换时充分考虑节能与提高能效</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0.2</w:t>
            </w:r>
          </w:p>
        </w:tc>
        <w:tc>
          <w:tcPr>
            <w:tcW w:w="933" w:type="dxa"/>
            <w:vMerge w:val="restart"/>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p>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5</w:t>
            </w: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2）至少实施过2项节能技术</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0.2</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3）实现对主要生产过程、主要用能设备的用能进行优化</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0.2</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4）实施用电负荷控制与优化，减少最高负荷</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0.2</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5）主要产品单耗（工序）比上年度下降</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0.2</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465"/>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restart"/>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6）综合节能率</w:t>
            </w: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证明本单位采取的各项节能措施取得了相应的节能效果。（综合节能率=产生的总节能量/该期本单位的总能耗，电力行业参考先进水平节能率幅度考评）</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综合节能率大于10%（含）（先进水平按4.0%）</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2</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综合节能率大于8%（含）（先进水平按3.5%）</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1.6</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综合节能率大于6%（含）（先进水平按3.0%）</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1.2</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综合节能率大于4%（含）（先进水平按2.5%）</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0.8</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综合节能率大于3%（含）（先进水平按2.0%）</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综合节能率大于2%（含）（先进水平按1.5%）</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综合节能率小于2%（含）（先进水平按1.0%）</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51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restart"/>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7）节能投资力度</w:t>
            </w: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证明本单位每年在节能和提高能效方面有一定的资金投入。以上</w:t>
            </w:r>
            <w:proofErr w:type="gramStart"/>
            <w:r>
              <w:rPr>
                <w:rFonts w:ascii="仿宋_GB2312" w:hAnsi="仿宋_GB2312" w:cs="仿宋_GB2312" w:hint="eastAsia"/>
                <w:color w:val="000000"/>
                <w:kern w:val="0"/>
                <w:sz w:val="21"/>
                <w:szCs w:val="21"/>
              </w:rPr>
              <w:t>一</w:t>
            </w:r>
            <w:proofErr w:type="gramEnd"/>
            <w:r>
              <w:rPr>
                <w:rFonts w:ascii="仿宋_GB2312" w:hAnsi="仿宋_GB2312" w:cs="仿宋_GB2312" w:hint="eastAsia"/>
                <w:color w:val="000000"/>
                <w:kern w:val="0"/>
                <w:sz w:val="21"/>
                <w:szCs w:val="21"/>
              </w:rPr>
              <w:t>年度节能投资额与本单位各项投资总额之比为依据衡量（投资包括企业自筹、外部融资或通过合同能源管理模式等）</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节能投资比例高于10.0%（含）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节能投资比例高于8.0%（含）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0.8</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节能投资比例高于6.0%（含）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节能投资比例高于4.0%（含）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282"/>
          <w:jc w:val="center"/>
        </w:trPr>
        <w:tc>
          <w:tcPr>
            <w:tcW w:w="755" w:type="dxa"/>
            <w:vMerge/>
            <w:tcBorders>
              <w:bottom w:val="single" w:sz="4" w:space="0" w:color="auto"/>
            </w:tcBorders>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tcBorders>
              <w:bottom w:val="single" w:sz="4" w:space="0" w:color="auto"/>
            </w:tcBorders>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tcBorders>
              <w:bottom w:val="single" w:sz="4" w:space="0" w:color="auto"/>
            </w:tcBorders>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tcBorders>
              <w:bottom w:val="single" w:sz="4" w:space="0" w:color="auto"/>
            </w:tcBorders>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节能投资比例低于4.0%（含）</w:t>
            </w:r>
          </w:p>
        </w:tc>
        <w:tc>
          <w:tcPr>
            <w:tcW w:w="1007" w:type="dxa"/>
            <w:tcBorders>
              <w:bottom w:val="single" w:sz="4" w:space="0" w:color="auto"/>
            </w:tcBorders>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w:t>
            </w:r>
          </w:p>
        </w:tc>
        <w:tc>
          <w:tcPr>
            <w:tcW w:w="933" w:type="dxa"/>
            <w:vMerge/>
            <w:tcBorders>
              <w:bottom w:val="single" w:sz="4" w:space="0" w:color="auto"/>
            </w:tcBorders>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510"/>
          <w:jc w:val="center"/>
        </w:trPr>
        <w:tc>
          <w:tcPr>
            <w:tcW w:w="755" w:type="dxa"/>
            <w:vMerge w:val="restart"/>
            <w:tcBorders>
              <w:top w:val="nil"/>
            </w:tcBorders>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2.6</w:t>
            </w:r>
          </w:p>
        </w:tc>
        <w:tc>
          <w:tcPr>
            <w:tcW w:w="1994" w:type="dxa"/>
            <w:vMerge w:val="restart"/>
            <w:tcBorders>
              <w:top w:val="nil"/>
            </w:tcBorders>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采用先进节能技术措施和高效设备</w:t>
            </w:r>
          </w:p>
        </w:tc>
        <w:tc>
          <w:tcPr>
            <w:tcW w:w="1858" w:type="dxa"/>
            <w:vMerge w:val="restart"/>
            <w:tcBorders>
              <w:top w:val="nil"/>
            </w:tcBorders>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8）节能投资效益</w:t>
            </w:r>
          </w:p>
        </w:tc>
        <w:tc>
          <w:tcPr>
            <w:tcW w:w="7805" w:type="dxa"/>
            <w:tcBorders>
              <w:top w:val="nil"/>
            </w:tcBorders>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证明本单位的节能投资产生了一定的经济效益。以节能投资回报率衡量。（节能投资回报率=上一年度节约的能源成本/上一年度节能投资总额）</w:t>
            </w:r>
          </w:p>
        </w:tc>
        <w:tc>
          <w:tcPr>
            <w:tcW w:w="1007" w:type="dxa"/>
            <w:tcBorders>
              <w:top w:val="nil"/>
            </w:tcBorders>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p>
        </w:tc>
        <w:tc>
          <w:tcPr>
            <w:tcW w:w="933" w:type="dxa"/>
            <w:vMerge w:val="restart"/>
            <w:tcBorders>
              <w:top w:val="nil"/>
            </w:tcBorders>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节能投资回报率高于40.0%（含）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节能投资回报率高于30.0%（含）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0.8</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节能投资回报率高于20.0%（含）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节能投资回报率高于10.0%（含）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节能投资回报率低于10.0%（含）</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restart"/>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lastRenderedPageBreak/>
              <w:t>2.7</w:t>
            </w:r>
          </w:p>
        </w:tc>
        <w:tc>
          <w:tcPr>
            <w:tcW w:w="1994" w:type="dxa"/>
            <w:vMerge w:val="restart"/>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执行节能法律法规及有关规定</w:t>
            </w: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1）执行节能评估审查制度</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restart"/>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2</w:t>
            </w: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2）落实落后产能、设备（产品）的淘汰制度，未使用落后的用能设备和产品</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9663" w:type="dxa"/>
            <w:gridSpan w:val="2"/>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3）执行节能法律法规其他有关规定，并完成国家或本市要求的节能减</w:t>
            </w:r>
            <w:proofErr w:type="gramStart"/>
            <w:r>
              <w:rPr>
                <w:rFonts w:ascii="仿宋_GB2312" w:hAnsi="仿宋_GB2312" w:cs="仿宋_GB2312" w:hint="eastAsia"/>
                <w:color w:val="000000"/>
                <w:kern w:val="0"/>
                <w:sz w:val="21"/>
                <w:szCs w:val="21"/>
              </w:rPr>
              <w:t>排方面</w:t>
            </w:r>
            <w:proofErr w:type="gramEnd"/>
            <w:r>
              <w:rPr>
                <w:rFonts w:ascii="仿宋_GB2312" w:hAnsi="仿宋_GB2312" w:cs="仿宋_GB2312" w:hint="eastAsia"/>
                <w:color w:val="000000"/>
                <w:kern w:val="0"/>
                <w:sz w:val="21"/>
                <w:szCs w:val="21"/>
              </w:rPr>
              <w:t>的其他各专项工作</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restart"/>
            <w:vAlign w:val="center"/>
          </w:tcPr>
          <w:p w:rsidR="00C30EE7" w:rsidRDefault="00C30EE7" w:rsidP="00F511EE">
            <w:pPr>
              <w:widowControl/>
              <w:spacing w:line="280" w:lineRule="exact"/>
              <w:jc w:val="center"/>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2.8</w:t>
            </w:r>
          </w:p>
        </w:tc>
        <w:tc>
          <w:tcPr>
            <w:tcW w:w="1994" w:type="dxa"/>
            <w:vMerge w:val="restart"/>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r>
              <w:rPr>
                <w:rFonts w:ascii="仿宋_GB2312" w:hAnsi="仿宋_GB2312" w:cs="仿宋_GB2312" w:hint="eastAsia"/>
                <w:b/>
                <w:bCs/>
                <w:color w:val="000000"/>
                <w:kern w:val="0"/>
                <w:sz w:val="21"/>
                <w:szCs w:val="21"/>
              </w:rPr>
              <w:t>对</w:t>
            </w:r>
            <w:proofErr w:type="gramStart"/>
            <w:r>
              <w:rPr>
                <w:rFonts w:ascii="仿宋_GB2312" w:hAnsi="仿宋_GB2312" w:cs="仿宋_GB2312" w:hint="eastAsia"/>
                <w:b/>
                <w:bCs/>
                <w:color w:val="000000"/>
                <w:kern w:val="0"/>
                <w:sz w:val="21"/>
                <w:szCs w:val="21"/>
              </w:rPr>
              <w:t>标管理</w:t>
            </w:r>
            <w:proofErr w:type="gramEnd"/>
            <w:r>
              <w:rPr>
                <w:rFonts w:ascii="仿宋_GB2312" w:hAnsi="仿宋_GB2312" w:cs="仿宋_GB2312" w:hint="eastAsia"/>
                <w:b/>
                <w:bCs/>
                <w:color w:val="000000"/>
                <w:kern w:val="0"/>
                <w:sz w:val="21"/>
                <w:szCs w:val="21"/>
              </w:rPr>
              <w:t>活动</w:t>
            </w:r>
          </w:p>
        </w:tc>
        <w:tc>
          <w:tcPr>
            <w:tcW w:w="1858" w:type="dxa"/>
            <w:vMerge w:val="restart"/>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 xml:space="preserve">1）现状分析 </w:t>
            </w: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成立对</w:t>
            </w:r>
            <w:proofErr w:type="gramStart"/>
            <w:r>
              <w:rPr>
                <w:rFonts w:ascii="仿宋_GB2312" w:hAnsi="仿宋_GB2312" w:cs="仿宋_GB2312" w:hint="eastAsia"/>
                <w:color w:val="000000"/>
                <w:kern w:val="0"/>
                <w:sz w:val="21"/>
                <w:szCs w:val="21"/>
              </w:rPr>
              <w:t>标活动</w:t>
            </w:r>
            <w:proofErr w:type="gramEnd"/>
            <w:r>
              <w:rPr>
                <w:rFonts w:ascii="仿宋_GB2312" w:hAnsi="仿宋_GB2312" w:cs="仿宋_GB2312" w:hint="eastAsia"/>
                <w:color w:val="000000"/>
                <w:kern w:val="0"/>
                <w:sz w:val="21"/>
                <w:szCs w:val="21"/>
              </w:rPr>
              <w:t>小组，明确职责及分工</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0.2</w:t>
            </w:r>
          </w:p>
        </w:tc>
        <w:tc>
          <w:tcPr>
            <w:tcW w:w="933" w:type="dxa"/>
            <w:vMerge w:val="restart"/>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5</w:t>
            </w: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对</w:t>
            </w:r>
            <w:proofErr w:type="gramStart"/>
            <w:r>
              <w:rPr>
                <w:rFonts w:ascii="仿宋_GB2312" w:hAnsi="仿宋_GB2312" w:cs="仿宋_GB2312" w:hint="eastAsia"/>
                <w:color w:val="000000"/>
                <w:kern w:val="0"/>
                <w:sz w:val="21"/>
                <w:szCs w:val="21"/>
              </w:rPr>
              <w:t>标指标</w:t>
            </w:r>
            <w:proofErr w:type="gramEnd"/>
            <w:r>
              <w:rPr>
                <w:rFonts w:ascii="仿宋_GB2312" w:hAnsi="仿宋_GB2312" w:cs="仿宋_GB2312" w:hint="eastAsia"/>
                <w:color w:val="000000"/>
                <w:kern w:val="0"/>
                <w:sz w:val="21"/>
                <w:szCs w:val="21"/>
              </w:rPr>
              <w:t>进行分析，编写对</w:t>
            </w:r>
            <w:proofErr w:type="gramStart"/>
            <w:r>
              <w:rPr>
                <w:rFonts w:ascii="仿宋_GB2312" w:hAnsi="仿宋_GB2312" w:cs="仿宋_GB2312" w:hint="eastAsia"/>
                <w:color w:val="000000"/>
                <w:kern w:val="0"/>
                <w:sz w:val="21"/>
                <w:szCs w:val="21"/>
              </w:rPr>
              <w:t>标指标</w:t>
            </w:r>
            <w:proofErr w:type="gramEnd"/>
            <w:r>
              <w:rPr>
                <w:rFonts w:ascii="仿宋_GB2312" w:hAnsi="仿宋_GB2312" w:cs="仿宋_GB2312" w:hint="eastAsia"/>
                <w:color w:val="000000"/>
                <w:kern w:val="0"/>
                <w:sz w:val="21"/>
                <w:szCs w:val="21"/>
              </w:rPr>
              <w:t>调研分析报告</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 xml:space="preserve">2）选定标杆 </w:t>
            </w: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将主要产品单耗（工序）或主要生产装置先进水平作为标杆对象</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restart"/>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3）对</w:t>
            </w:r>
            <w:proofErr w:type="gramStart"/>
            <w:r>
              <w:rPr>
                <w:rFonts w:ascii="仿宋_GB2312" w:hAnsi="仿宋_GB2312" w:cs="仿宋_GB2312" w:hint="eastAsia"/>
                <w:color w:val="000000"/>
                <w:kern w:val="0"/>
                <w:sz w:val="21"/>
                <w:szCs w:val="21"/>
              </w:rPr>
              <w:t>标分析</w:t>
            </w:r>
            <w:proofErr w:type="gramEnd"/>
            <w:r>
              <w:rPr>
                <w:rFonts w:ascii="仿宋_GB2312" w:hAnsi="仿宋_GB2312" w:cs="仿宋_GB2312" w:hint="eastAsia"/>
                <w:color w:val="000000"/>
                <w:kern w:val="0"/>
                <w:sz w:val="21"/>
                <w:szCs w:val="21"/>
              </w:rPr>
              <w:t xml:space="preserve"> </w:t>
            </w: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对对</w:t>
            </w:r>
            <w:proofErr w:type="gramStart"/>
            <w:r>
              <w:rPr>
                <w:rFonts w:ascii="仿宋_GB2312" w:hAnsi="仿宋_GB2312" w:cs="仿宋_GB2312" w:hint="eastAsia"/>
                <w:color w:val="000000"/>
                <w:kern w:val="0"/>
                <w:sz w:val="21"/>
                <w:szCs w:val="21"/>
              </w:rPr>
              <w:t>标指标</w:t>
            </w:r>
            <w:proofErr w:type="gramEnd"/>
            <w:r>
              <w:rPr>
                <w:rFonts w:ascii="仿宋_GB2312" w:hAnsi="仿宋_GB2312" w:cs="仿宋_GB2312" w:hint="eastAsia"/>
                <w:color w:val="000000"/>
                <w:kern w:val="0"/>
                <w:sz w:val="21"/>
                <w:szCs w:val="21"/>
              </w:rPr>
              <w:t>进行分析，并建立对</w:t>
            </w:r>
            <w:proofErr w:type="gramStart"/>
            <w:r>
              <w:rPr>
                <w:rFonts w:ascii="仿宋_GB2312" w:hAnsi="仿宋_GB2312" w:cs="仿宋_GB2312" w:hint="eastAsia"/>
                <w:color w:val="000000"/>
                <w:kern w:val="0"/>
                <w:sz w:val="21"/>
                <w:szCs w:val="21"/>
              </w:rPr>
              <w:t>标指标</w:t>
            </w:r>
            <w:proofErr w:type="gramEnd"/>
            <w:r>
              <w:rPr>
                <w:rFonts w:ascii="仿宋_GB2312" w:hAnsi="仿宋_GB2312" w:cs="仿宋_GB2312" w:hint="eastAsia"/>
                <w:color w:val="000000"/>
                <w:kern w:val="0"/>
                <w:sz w:val="21"/>
                <w:szCs w:val="21"/>
              </w:rPr>
              <w:t>三级指标体系</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0.2</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与确立的标杆值比对，找出差距，并对存在问题进行分析</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restart"/>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4）对</w:t>
            </w:r>
            <w:proofErr w:type="gramStart"/>
            <w:r>
              <w:rPr>
                <w:rFonts w:ascii="仿宋_GB2312" w:hAnsi="仿宋_GB2312" w:cs="仿宋_GB2312" w:hint="eastAsia"/>
                <w:color w:val="000000"/>
                <w:kern w:val="0"/>
                <w:sz w:val="21"/>
                <w:szCs w:val="21"/>
              </w:rPr>
              <w:t>标基础</w:t>
            </w:r>
            <w:proofErr w:type="gramEnd"/>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明确对</w:t>
            </w:r>
            <w:proofErr w:type="gramStart"/>
            <w:r>
              <w:rPr>
                <w:rFonts w:ascii="仿宋_GB2312" w:hAnsi="仿宋_GB2312" w:cs="仿宋_GB2312" w:hint="eastAsia"/>
                <w:color w:val="000000"/>
                <w:kern w:val="0"/>
                <w:sz w:val="21"/>
                <w:szCs w:val="21"/>
              </w:rPr>
              <w:t>标指标</w:t>
            </w:r>
            <w:proofErr w:type="gramEnd"/>
            <w:r>
              <w:rPr>
                <w:rFonts w:ascii="仿宋_GB2312" w:hAnsi="仿宋_GB2312" w:cs="仿宋_GB2312" w:hint="eastAsia"/>
                <w:color w:val="000000"/>
                <w:kern w:val="0"/>
                <w:sz w:val="21"/>
                <w:szCs w:val="21"/>
              </w:rPr>
              <w:t>计算范围、完善对</w:t>
            </w:r>
            <w:proofErr w:type="gramStart"/>
            <w:r>
              <w:rPr>
                <w:rFonts w:ascii="仿宋_GB2312" w:hAnsi="仿宋_GB2312" w:cs="仿宋_GB2312" w:hint="eastAsia"/>
                <w:color w:val="000000"/>
                <w:kern w:val="0"/>
                <w:sz w:val="21"/>
                <w:szCs w:val="21"/>
              </w:rPr>
              <w:t>标指标</w:t>
            </w:r>
            <w:proofErr w:type="gramEnd"/>
            <w:r>
              <w:rPr>
                <w:rFonts w:ascii="仿宋_GB2312" w:hAnsi="仿宋_GB2312" w:cs="仿宋_GB2312" w:hint="eastAsia"/>
                <w:color w:val="000000"/>
                <w:kern w:val="0"/>
                <w:sz w:val="21"/>
                <w:szCs w:val="21"/>
              </w:rPr>
              <w:t>基础计量工作</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0.2</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建立对</w:t>
            </w:r>
            <w:proofErr w:type="gramStart"/>
            <w:r>
              <w:rPr>
                <w:rFonts w:ascii="仿宋_GB2312" w:hAnsi="仿宋_GB2312" w:cs="仿宋_GB2312" w:hint="eastAsia"/>
                <w:color w:val="000000"/>
                <w:kern w:val="0"/>
                <w:sz w:val="21"/>
                <w:szCs w:val="21"/>
              </w:rPr>
              <w:t>标指标</w:t>
            </w:r>
            <w:proofErr w:type="gramEnd"/>
            <w:r>
              <w:rPr>
                <w:rFonts w:ascii="仿宋_GB2312" w:hAnsi="仿宋_GB2312" w:cs="仿宋_GB2312" w:hint="eastAsia"/>
                <w:color w:val="000000"/>
                <w:kern w:val="0"/>
                <w:sz w:val="21"/>
                <w:szCs w:val="21"/>
              </w:rPr>
              <w:t>统计体系，定期监测及分析能效对</w:t>
            </w:r>
            <w:proofErr w:type="gramStart"/>
            <w:r>
              <w:rPr>
                <w:rFonts w:ascii="仿宋_GB2312" w:hAnsi="仿宋_GB2312" w:cs="仿宋_GB2312" w:hint="eastAsia"/>
                <w:color w:val="000000"/>
                <w:kern w:val="0"/>
                <w:sz w:val="21"/>
                <w:szCs w:val="21"/>
              </w:rPr>
              <w:t>标指标</w:t>
            </w:r>
            <w:proofErr w:type="gramEnd"/>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0.3</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restart"/>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5）对</w:t>
            </w:r>
            <w:proofErr w:type="gramStart"/>
            <w:r>
              <w:rPr>
                <w:rFonts w:ascii="仿宋_GB2312" w:hAnsi="仿宋_GB2312" w:cs="仿宋_GB2312" w:hint="eastAsia"/>
                <w:color w:val="000000"/>
                <w:kern w:val="0"/>
                <w:sz w:val="21"/>
                <w:szCs w:val="21"/>
              </w:rPr>
              <w:t>标实践</w:t>
            </w:r>
            <w:proofErr w:type="gramEnd"/>
            <w:r>
              <w:rPr>
                <w:rFonts w:ascii="仿宋_GB2312" w:hAnsi="仿宋_GB2312" w:cs="仿宋_GB2312" w:hint="eastAsia"/>
                <w:color w:val="000000"/>
                <w:kern w:val="0"/>
                <w:sz w:val="21"/>
                <w:szCs w:val="21"/>
              </w:rPr>
              <w:t xml:space="preserve"> </w:t>
            </w: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按照对</w:t>
            </w:r>
            <w:proofErr w:type="gramStart"/>
            <w:r>
              <w:rPr>
                <w:rFonts w:ascii="仿宋_GB2312" w:hAnsi="仿宋_GB2312" w:cs="仿宋_GB2312" w:hint="eastAsia"/>
                <w:color w:val="000000"/>
                <w:kern w:val="0"/>
                <w:sz w:val="21"/>
                <w:szCs w:val="21"/>
              </w:rPr>
              <w:t>标活动</w:t>
            </w:r>
            <w:proofErr w:type="gramEnd"/>
            <w:r>
              <w:rPr>
                <w:rFonts w:ascii="仿宋_GB2312" w:hAnsi="仿宋_GB2312" w:cs="仿宋_GB2312" w:hint="eastAsia"/>
                <w:color w:val="000000"/>
                <w:kern w:val="0"/>
                <w:sz w:val="21"/>
                <w:szCs w:val="21"/>
              </w:rPr>
              <w:t>要求，制定具体详实的能效对</w:t>
            </w:r>
            <w:proofErr w:type="gramStart"/>
            <w:r>
              <w:rPr>
                <w:rFonts w:ascii="仿宋_GB2312" w:hAnsi="仿宋_GB2312" w:cs="仿宋_GB2312" w:hint="eastAsia"/>
                <w:color w:val="000000"/>
                <w:kern w:val="0"/>
                <w:sz w:val="21"/>
                <w:szCs w:val="21"/>
              </w:rPr>
              <w:t>标活动</w:t>
            </w:r>
            <w:proofErr w:type="gramEnd"/>
            <w:r>
              <w:rPr>
                <w:rFonts w:ascii="仿宋_GB2312" w:hAnsi="仿宋_GB2312" w:cs="仿宋_GB2312" w:hint="eastAsia"/>
                <w:color w:val="000000"/>
                <w:kern w:val="0"/>
                <w:sz w:val="21"/>
                <w:szCs w:val="21"/>
              </w:rPr>
              <w:t>实施方案</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对</w:t>
            </w:r>
            <w:proofErr w:type="gramStart"/>
            <w:r>
              <w:rPr>
                <w:rFonts w:ascii="仿宋_GB2312" w:hAnsi="仿宋_GB2312" w:cs="仿宋_GB2312" w:hint="eastAsia"/>
                <w:color w:val="000000"/>
                <w:kern w:val="0"/>
                <w:sz w:val="21"/>
                <w:szCs w:val="21"/>
              </w:rPr>
              <w:t>标实施</w:t>
            </w:r>
            <w:proofErr w:type="gramEnd"/>
            <w:r>
              <w:rPr>
                <w:rFonts w:ascii="仿宋_GB2312" w:hAnsi="仿宋_GB2312" w:cs="仿宋_GB2312" w:hint="eastAsia"/>
                <w:color w:val="000000"/>
                <w:kern w:val="0"/>
                <w:sz w:val="21"/>
                <w:szCs w:val="21"/>
              </w:rPr>
              <w:t>方案对达到标杆值的保障率达到100%，1分；60%以上的，0.5分；60%以下的，不得分</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0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每项改进措施落实了具体责任人和有时间节点安排</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0.5</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r w:rsidR="00C30EE7" w:rsidTr="00F511EE">
        <w:trPr>
          <w:trHeight w:val="360"/>
          <w:jc w:val="center"/>
        </w:trPr>
        <w:tc>
          <w:tcPr>
            <w:tcW w:w="755"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994" w:type="dxa"/>
            <w:vMerge/>
            <w:vAlign w:val="center"/>
          </w:tcPr>
          <w:p w:rsidR="00C30EE7" w:rsidRDefault="00C30EE7" w:rsidP="00F511EE">
            <w:pPr>
              <w:widowControl/>
              <w:spacing w:line="280" w:lineRule="exact"/>
              <w:jc w:val="left"/>
              <w:rPr>
                <w:rFonts w:ascii="仿宋_GB2312" w:hAnsi="仿宋_GB2312" w:cs="仿宋_GB2312" w:hint="eastAsia"/>
                <w:b/>
                <w:bCs/>
                <w:color w:val="000000"/>
                <w:kern w:val="0"/>
                <w:sz w:val="21"/>
                <w:szCs w:val="21"/>
              </w:rPr>
            </w:pPr>
          </w:p>
        </w:tc>
        <w:tc>
          <w:tcPr>
            <w:tcW w:w="1858"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c>
          <w:tcPr>
            <w:tcW w:w="7805" w:type="dxa"/>
            <w:vAlign w:val="center"/>
          </w:tcPr>
          <w:p w:rsidR="00C30EE7" w:rsidRDefault="00C30EE7" w:rsidP="00F511EE">
            <w:pPr>
              <w:widowControl/>
              <w:spacing w:line="28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按照对</w:t>
            </w:r>
            <w:proofErr w:type="gramStart"/>
            <w:r>
              <w:rPr>
                <w:rFonts w:ascii="仿宋_GB2312" w:hAnsi="仿宋_GB2312" w:cs="仿宋_GB2312" w:hint="eastAsia"/>
                <w:color w:val="000000"/>
                <w:kern w:val="0"/>
                <w:sz w:val="21"/>
                <w:szCs w:val="21"/>
              </w:rPr>
              <w:t>标实施</w:t>
            </w:r>
            <w:proofErr w:type="gramEnd"/>
            <w:r>
              <w:rPr>
                <w:rFonts w:ascii="仿宋_GB2312" w:hAnsi="仿宋_GB2312" w:cs="仿宋_GB2312" w:hint="eastAsia"/>
                <w:color w:val="000000"/>
                <w:kern w:val="0"/>
                <w:sz w:val="21"/>
                <w:szCs w:val="21"/>
              </w:rPr>
              <w:t>方案和措施计划，落实改进率100%的，1分，落实改进率60%的，0.5分；60%以下的，不得分</w:t>
            </w:r>
          </w:p>
        </w:tc>
        <w:tc>
          <w:tcPr>
            <w:tcW w:w="1007" w:type="dxa"/>
            <w:vAlign w:val="center"/>
          </w:tcPr>
          <w:p w:rsidR="00C30EE7" w:rsidRDefault="00C30EE7" w:rsidP="00F511EE">
            <w:pPr>
              <w:widowControl/>
              <w:spacing w:line="280" w:lineRule="exact"/>
              <w:jc w:val="center"/>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1</w:t>
            </w:r>
          </w:p>
        </w:tc>
        <w:tc>
          <w:tcPr>
            <w:tcW w:w="933" w:type="dxa"/>
            <w:vMerge/>
            <w:vAlign w:val="center"/>
          </w:tcPr>
          <w:p w:rsidR="00C30EE7" w:rsidRDefault="00C30EE7" w:rsidP="00F511EE">
            <w:pPr>
              <w:widowControl/>
              <w:spacing w:line="280" w:lineRule="exact"/>
              <w:jc w:val="left"/>
              <w:rPr>
                <w:rFonts w:ascii="仿宋_GB2312" w:hAnsi="仿宋_GB2312" w:cs="仿宋_GB2312" w:hint="eastAsia"/>
                <w:color w:val="000000"/>
                <w:kern w:val="0"/>
                <w:sz w:val="21"/>
                <w:szCs w:val="21"/>
              </w:rPr>
            </w:pPr>
          </w:p>
        </w:tc>
      </w:tr>
    </w:tbl>
    <w:p w:rsidR="008F61CD" w:rsidRDefault="008F61CD"/>
    <w:sectPr w:rsidR="008F61CD" w:rsidSect="00C30EE7">
      <w:footerReference w:type="default" r:id="rId4"/>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6FE0" w:rsidP="00EA21EA">
    <w:pPr>
      <w:pStyle w:val="a3"/>
      <w:tabs>
        <w:tab w:val="clear" w:pos="4153"/>
        <w:tab w:val="right" w:pos="13650"/>
      </w:tabs>
      <w:spacing w:afterLines="220" w:line="432" w:lineRule="auto"/>
      <w:ind w:leftChars="100" w:left="308"/>
    </w:pPr>
    <w:r>
      <w:pict>
        <v:shapetype id="_x0000_t202" coordsize="21600,21600" o:spt="202" path="m,l,21600r21600,l21600,xe">
          <v:stroke joinstyle="miter"/>
          <v:path gradientshapeok="t" o:connecttype="rect"/>
        </v:shapetype>
        <v:shape id="文本框 5"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126FE0">
                <w:pPr>
                  <w:pStyle w:val="a3"/>
                </w:pPr>
                <w:r>
                  <w:fldChar w:fldCharType="begin"/>
                </w:r>
                <w:r>
                  <w:instrText xml:space="preserve"> PAGE  \* MERGEFORMAT </w:instrText>
                </w:r>
                <w:r>
                  <w:fldChar w:fldCharType="separate"/>
                </w:r>
                <w:r w:rsidR="00C30EE7">
                  <w:rPr>
                    <w:noProof/>
                  </w:rPr>
                  <w:t>1</w:t>
                </w:r>
                <w:r>
                  <w:fldChar w:fldCharType="end"/>
                </w:r>
              </w:p>
            </w:txbxContent>
          </v:textbox>
          <w10:wrap anchorx="margin"/>
        </v:shape>
      </w:pict>
    </w:r>
    <w:r>
      <w:pict>
        <v:shape id="文本框 3" o:spid="_x0000_s1025" type="#_x0000_t202" style="position:absolute;left:0;text-align:left;margin-left:672.9pt;margin-top:0;width:25pt;height:2in;z-index:251660288;mso-position-horizontal-relative:margin" filled="f" stroked="f" strokeweight="1.25pt">
          <v:fill o:detectmouseclick="t"/>
          <v:textbox style="mso-fit-shape-to-text:t" inset="0,0,0,0">
            <w:txbxContent>
              <w:p w:rsidR="00000000" w:rsidRDefault="00126FE0">
                <w:pPr>
                  <w:rPr>
                    <w:rFonts w:hint="eastAsia"/>
                  </w:rPr>
                </w:pP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C30EE7"/>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21AB"/>
    <w:rsid w:val="0004607D"/>
    <w:rsid w:val="000465E4"/>
    <w:rsid w:val="00047A1E"/>
    <w:rsid w:val="00056361"/>
    <w:rsid w:val="000612F9"/>
    <w:rsid w:val="000635D0"/>
    <w:rsid w:val="00063D2C"/>
    <w:rsid w:val="00064CAE"/>
    <w:rsid w:val="000677DB"/>
    <w:rsid w:val="00073C62"/>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26FE0"/>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54C7"/>
    <w:rsid w:val="001F648E"/>
    <w:rsid w:val="001F6F09"/>
    <w:rsid w:val="00200B36"/>
    <w:rsid w:val="0020263C"/>
    <w:rsid w:val="0021132B"/>
    <w:rsid w:val="00211506"/>
    <w:rsid w:val="002146D8"/>
    <w:rsid w:val="00215D9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72"/>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0EE7"/>
    <w:rsid w:val="00C31058"/>
    <w:rsid w:val="00C319A9"/>
    <w:rsid w:val="00C4052F"/>
    <w:rsid w:val="00C4139B"/>
    <w:rsid w:val="00C42E72"/>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3693"/>
    <w:rsid w:val="00F843AA"/>
    <w:rsid w:val="00F85379"/>
    <w:rsid w:val="00F8639A"/>
    <w:rsid w:val="00F86CA7"/>
    <w:rsid w:val="00F87A55"/>
    <w:rsid w:val="00F906B0"/>
    <w:rsid w:val="00F93CD3"/>
    <w:rsid w:val="00F940EE"/>
    <w:rsid w:val="00F96343"/>
    <w:rsid w:val="00F969C8"/>
    <w:rsid w:val="00FA08C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E7"/>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Char"/>
    <w:qFormat/>
    <w:rsid w:val="00C30EE7"/>
    <w:pPr>
      <w:keepNext/>
      <w:keepLines/>
      <w:spacing w:before="340" w:after="330" w:line="576" w:lineRule="auto"/>
      <w:outlineLvl w:val="0"/>
    </w:pPr>
    <w:rPr>
      <w:rFonts w:eastAsia="宋体"/>
      <w:b/>
      <w:bCs/>
      <w:spacing w:val="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30EE7"/>
    <w:rPr>
      <w:rFonts w:ascii="Times New Roman" w:eastAsia="宋体" w:hAnsi="Times New Roman" w:cs="Times New Roman"/>
      <w:b/>
      <w:bCs/>
      <w:kern w:val="44"/>
      <w:sz w:val="44"/>
      <w:szCs w:val="44"/>
    </w:rPr>
  </w:style>
  <w:style w:type="paragraph" w:styleId="a3">
    <w:name w:val="footer"/>
    <w:basedOn w:val="a"/>
    <w:link w:val="Char"/>
    <w:uiPriority w:val="99"/>
    <w:unhideWhenUsed/>
    <w:rsid w:val="00C30EE7"/>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rsid w:val="00C30EE7"/>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2661</Characters>
  <Application>Microsoft Office Word</Application>
  <DocSecurity>0</DocSecurity>
  <Lines>22</Lines>
  <Paragraphs>6</Paragraphs>
  <ScaleCrop>false</ScaleCrop>
  <Company>Microsoft</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2020-06-16T07:32:00Z</dcterms:created>
  <dcterms:modified xsi:type="dcterms:W3CDTF">2020-06-16T07:32:00Z</dcterms:modified>
</cp:coreProperties>
</file>