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DFD" w:rsidRDefault="00CD2DFD" w:rsidP="00CD2DFD">
      <w:pPr>
        <w:pStyle w:val="1"/>
        <w:widowControl/>
        <w:shd w:val="clear" w:color="auto" w:fill="FFFFFF"/>
        <w:spacing w:before="0" w:beforeAutospacing="0" w:after="0" w:afterAutospacing="0" w:line="500" w:lineRule="exact"/>
        <w:rPr>
          <w:rFonts w:ascii="黑体" w:eastAsia="黑体" w:hAnsi="黑体" w:cs="黑体"/>
          <w:b w:val="0"/>
          <w:bCs w:val="0"/>
          <w:sz w:val="32"/>
          <w:szCs w:val="32"/>
        </w:rPr>
      </w:pPr>
      <w:r w:rsidRPr="000F1456">
        <w:rPr>
          <w:rFonts w:ascii="黑体" w:eastAsia="黑体" w:hAnsi="黑体" w:cs="黑体"/>
          <w:b w:val="0"/>
          <w:bCs w:val="0"/>
          <w:sz w:val="32"/>
          <w:szCs w:val="32"/>
        </w:rPr>
        <w:t>附件</w:t>
      </w:r>
    </w:p>
    <w:p w:rsidR="00CD2DFD" w:rsidRPr="000F1456" w:rsidRDefault="00CD2DFD" w:rsidP="00CD2DFD">
      <w:pPr>
        <w:spacing w:line="500" w:lineRule="exact"/>
        <w:jc w:val="center"/>
        <w:rPr>
          <w:rFonts w:ascii="方正小标宋简体" w:eastAsia="方正小标宋简体" w:hAnsi="方正小标宋简体" w:cs="方正小标宋简体" w:hint="eastAsia"/>
          <w:spacing w:val="0"/>
          <w:sz w:val="36"/>
          <w:szCs w:val="36"/>
        </w:rPr>
      </w:pPr>
      <w:bookmarkStart w:id="0" w:name="_GoBack"/>
      <w:r w:rsidRPr="000F1456">
        <w:rPr>
          <w:rFonts w:ascii="方正小标宋简体" w:eastAsia="方正小标宋简体" w:hAnsi="方正小标宋简体" w:cs="方正小标宋简体" w:hint="eastAsia"/>
          <w:spacing w:val="0"/>
          <w:sz w:val="36"/>
          <w:szCs w:val="36"/>
        </w:rPr>
        <w:t>上海市软件和信息服务产业基地评估条件</w:t>
      </w:r>
      <w:bookmarkEnd w:id="0"/>
    </w:p>
    <w:p w:rsidR="00CD2DFD" w:rsidRDefault="00CD2DFD" w:rsidP="00CD2DFD">
      <w:pPr>
        <w:adjustRightInd w:val="0"/>
        <w:snapToGrid w:val="0"/>
        <w:spacing w:line="500" w:lineRule="exact"/>
        <w:ind w:firstLineChars="200" w:firstLine="669"/>
        <w:rPr>
          <w:rFonts w:ascii="方正仿宋_GB2312" w:eastAsia="方正仿宋_GB2312" w:hAnsi="方正仿宋_GB2312" w:cs="方正仿宋_GB2312" w:hint="eastAsia"/>
          <w:szCs w:val="32"/>
        </w:rPr>
      </w:pPr>
      <w:r>
        <w:rPr>
          <w:rFonts w:ascii="方正仿宋_GB2312" w:eastAsia="方正仿宋_GB2312" w:hAnsi="方正仿宋_GB2312" w:cs="方正仿宋_GB2312" w:hint="eastAsia"/>
          <w:b/>
          <w:bCs/>
          <w:szCs w:val="32"/>
        </w:rPr>
        <w:t xml:space="preserve"> </w:t>
      </w:r>
    </w:p>
    <w:p w:rsidR="00CD2DFD" w:rsidRDefault="00CD2DFD" w:rsidP="00CD2DFD">
      <w:pPr>
        <w:adjustRightInd w:val="0"/>
        <w:snapToGrid w:val="0"/>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为贯彻落实“数字中国”战略，促进城市数字化转型发展，培育壮大上海数字经济新动能，发挥市级软件和信息服务产业基地承载产业、集聚资源、服务企业、研发创新、人尽其才的引领优势，特制定本条件。</w:t>
      </w:r>
    </w:p>
    <w:p w:rsidR="00CD2DFD" w:rsidRDefault="00CD2DFD" w:rsidP="00CD2DFD">
      <w:pPr>
        <w:adjustRightInd w:val="0"/>
        <w:snapToGrid w:val="0"/>
        <w:spacing w:line="500" w:lineRule="exact"/>
        <w:ind w:firstLineChars="200" w:firstLine="681"/>
        <w:rPr>
          <w:rFonts w:ascii="仿宋_GB2312" w:hAnsi="仿宋_GB2312" w:cs="仿宋_GB2312" w:hint="eastAsia"/>
          <w:b/>
          <w:bCs/>
          <w:szCs w:val="32"/>
        </w:rPr>
      </w:pPr>
      <w:r>
        <w:rPr>
          <w:rFonts w:ascii="仿宋_GB2312" w:hAnsi="仿宋_GB2312" w:cs="仿宋_GB2312" w:hint="eastAsia"/>
          <w:b/>
          <w:bCs/>
          <w:szCs w:val="32"/>
        </w:rPr>
        <w:t>（一）产业定位</w:t>
      </w:r>
    </w:p>
    <w:p w:rsidR="00CD2DFD" w:rsidRDefault="00CD2DFD" w:rsidP="00CD2DFD">
      <w:pPr>
        <w:adjustRightInd w:val="0"/>
        <w:snapToGrid w:val="0"/>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上海市软件和信息服务产业基地的主体产业必须定位于软件和信息技术服务业，即以软件、信息技术、嵌入式系统等产品和服务为基准，衍生或创新发展形成的各类新业态、新模式，包括但不限于下述产业业态：</w:t>
      </w:r>
      <w:bookmarkStart w:id="1" w:name="_Hlk69922839"/>
      <w:r>
        <w:rPr>
          <w:rFonts w:ascii="仿宋_GB2312" w:hAnsi="仿宋_GB2312" w:cs="仿宋_GB2312" w:hint="eastAsia"/>
          <w:szCs w:val="32"/>
        </w:rPr>
        <w:t>软件、互联网+、移动互联网、数字内容、数字互动娱乐、网络文化、数据服务、人工智能、大数据、智能制造、金融信息服务、贸易信息服务、科技金融、云计算、工业软件、工业互联网、区块链、集成电路设计、基础软件、信息安全、数据服务、信息消费、电子商务、互联网教育、物联网、5G、新基建</w:t>
      </w:r>
      <w:bookmarkEnd w:id="1"/>
      <w:r>
        <w:rPr>
          <w:rFonts w:ascii="仿宋_GB2312" w:hAnsi="仿宋_GB2312" w:cs="仿宋_GB2312" w:hint="eastAsia"/>
          <w:szCs w:val="32"/>
        </w:rPr>
        <w:t>等。综合基地拥有细分产业业态不少于3个，主体产业产值比重不低于50%，特色基地拥有细分产业业态1-2个，主体产业产值比重不低于70%。</w:t>
      </w:r>
    </w:p>
    <w:p w:rsidR="00CD2DFD" w:rsidRDefault="00CD2DFD" w:rsidP="00CD2DFD">
      <w:pPr>
        <w:adjustRightInd w:val="0"/>
        <w:snapToGrid w:val="0"/>
        <w:spacing w:line="500" w:lineRule="exact"/>
        <w:ind w:firstLineChars="200" w:firstLine="681"/>
        <w:rPr>
          <w:rFonts w:ascii="仿宋_GB2312" w:hAnsi="仿宋_GB2312" w:cs="仿宋_GB2312" w:hint="eastAsia"/>
          <w:b/>
          <w:bCs/>
          <w:szCs w:val="32"/>
        </w:rPr>
      </w:pPr>
      <w:r>
        <w:rPr>
          <w:rFonts w:ascii="仿宋_GB2312" w:hAnsi="仿宋_GB2312" w:cs="仿宋_GB2312" w:hint="eastAsia"/>
          <w:b/>
          <w:bCs/>
          <w:szCs w:val="32"/>
        </w:rPr>
        <w:t>（二）开发规模</w:t>
      </w:r>
    </w:p>
    <w:p w:rsidR="00CD2DFD" w:rsidRDefault="00CD2DFD" w:rsidP="00CD2DFD">
      <w:pPr>
        <w:adjustRightInd w:val="0"/>
        <w:snapToGrid w:val="0"/>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上海市软件和信息服务产业基地应具有明确的四至范围（申报主体属同一法人名下、同一区域内的分园不超过三个为限），综合基地规划占地面积不少于20公顷，或办公面积8万平方米以上，特色基地规划占地面积不少于5公顷，或办公面积5万平方米以上；土地节约利用水平、开发强度原则上应按照规划允许的最大值确定，一般不低于2.0-3.0。</w:t>
      </w:r>
      <w:r>
        <w:rPr>
          <w:rFonts w:ascii="仿宋_GB2312" w:hAnsi="仿宋_GB2312" w:cs="仿宋_GB2312" w:hint="eastAsia"/>
          <w:szCs w:val="32"/>
        </w:rPr>
        <w:lastRenderedPageBreak/>
        <w:t>基地区域内步行10分钟，应当配套咖啡馆、小型超市、食堂、餐饮、体育健身场所、文化休闲场所、创业创新空间等，基地区域周边10分钟车程内，配套人才公寓（自建或合作）、公租房、商品住房、租赁住房、大型超市等；基地全路网密度不低于8-10公里/平方公里(特色基地除外)，新建基地应当按照同步规划、同步设计、同步建设、同步投用的要求落实公交配套设施，减少远距离通勤交通。</w:t>
      </w:r>
    </w:p>
    <w:p w:rsidR="00CD2DFD" w:rsidRDefault="00CD2DFD" w:rsidP="00CD2DFD">
      <w:pPr>
        <w:adjustRightInd w:val="0"/>
        <w:snapToGrid w:val="0"/>
        <w:spacing w:line="500" w:lineRule="exact"/>
        <w:ind w:firstLineChars="200" w:firstLine="681"/>
        <w:rPr>
          <w:rFonts w:ascii="仿宋_GB2312" w:hAnsi="仿宋_GB2312" w:cs="仿宋_GB2312" w:hint="eastAsia"/>
          <w:b/>
          <w:bCs/>
          <w:szCs w:val="32"/>
        </w:rPr>
      </w:pPr>
      <w:r>
        <w:rPr>
          <w:rFonts w:ascii="仿宋_GB2312" w:hAnsi="仿宋_GB2312" w:cs="仿宋_GB2312" w:hint="eastAsia"/>
          <w:b/>
          <w:bCs/>
          <w:szCs w:val="32"/>
        </w:rPr>
        <w:t>（三）产业能级</w:t>
      </w:r>
    </w:p>
    <w:p w:rsidR="00CD2DFD" w:rsidRDefault="00CD2DFD" w:rsidP="00CD2DFD">
      <w:pPr>
        <w:adjustRightInd w:val="0"/>
        <w:snapToGrid w:val="0"/>
        <w:spacing w:line="500" w:lineRule="exact"/>
        <w:ind w:firstLineChars="200" w:firstLine="681"/>
        <w:rPr>
          <w:rFonts w:ascii="仿宋_GB2312" w:hAnsi="仿宋_GB2312" w:cs="仿宋_GB2312" w:hint="eastAsia"/>
          <w:b/>
          <w:bCs/>
          <w:szCs w:val="32"/>
        </w:rPr>
      </w:pPr>
      <w:r>
        <w:rPr>
          <w:rFonts w:ascii="仿宋_GB2312" w:hAnsi="仿宋_GB2312" w:cs="仿宋_GB2312" w:hint="eastAsia"/>
          <w:b/>
          <w:bCs/>
          <w:szCs w:val="32"/>
        </w:rPr>
        <w:t>1、培育型产业基地</w:t>
      </w:r>
    </w:p>
    <w:p w:rsidR="00CD2DFD" w:rsidRDefault="00CD2DFD" w:rsidP="00CD2DFD">
      <w:pPr>
        <w:adjustRightInd w:val="0"/>
        <w:snapToGrid w:val="0"/>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上海市软件和信息服务产业基地综合基地年度经营收入应达到30亿元，其中软件和信息服务业经营收入超过60%，特色基地年度经营收入应达到3亿元，其中软件和信息服务业经营收入超过60% ；综合基地就业人数3000人以上，其中软件和信息服务业就业人数1800人以上，特色基地就业人数300人以上，其中软件和信息服务业就业人数180人以上；综合基地内优质企业数量超过12家，特色基地优质企业数量超过5家，其中包括上市企业、行业领军型企业、总部型企业、独角兽企业、技术创新型企业等；综合基地和特色基地内企业拥有自主知识产权的比例高于全市平均值。</w:t>
      </w:r>
    </w:p>
    <w:p w:rsidR="00CD2DFD" w:rsidRDefault="00CD2DFD" w:rsidP="00CD2DFD">
      <w:pPr>
        <w:adjustRightInd w:val="0"/>
        <w:snapToGrid w:val="0"/>
        <w:spacing w:line="500" w:lineRule="exact"/>
        <w:ind w:firstLineChars="200" w:firstLine="681"/>
        <w:rPr>
          <w:rFonts w:ascii="仿宋_GB2312" w:hAnsi="仿宋_GB2312" w:cs="仿宋_GB2312" w:hint="eastAsia"/>
          <w:b/>
          <w:bCs/>
          <w:szCs w:val="32"/>
        </w:rPr>
      </w:pPr>
      <w:r>
        <w:rPr>
          <w:rFonts w:ascii="仿宋_GB2312" w:hAnsi="仿宋_GB2312" w:cs="仿宋_GB2312" w:hint="eastAsia"/>
          <w:b/>
          <w:bCs/>
          <w:szCs w:val="32"/>
        </w:rPr>
        <w:t>2、示范型产业基地</w:t>
      </w:r>
    </w:p>
    <w:p w:rsidR="00CD2DFD" w:rsidRDefault="00CD2DFD" w:rsidP="00CD2DFD">
      <w:pPr>
        <w:adjustRightInd w:val="0"/>
        <w:snapToGrid w:val="0"/>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上海市软件和信息服务产业基地综合基地年度经营收入应达到100亿元，其中软件和信息服务业经营收入超过60%，特色基地年度经营收入应达到10亿元，其中软件和信息服务业经营收入超过60%；综合基地就业人数8000人以上，其中软件和信息服务业就业人数4800人以上，特色基地就业人数1000人以上，其中软件和信息服务业就业人数600人以上；综合基地优质企业数量超过25家，特色基地优质企业数量超过10家，其中包括上市企业、行业领军型企业，总部型企业、独角兽企业、技术创新型企业等；综合基地和特色基地内企业拥有自主知识产权的比例高于全市平均值。</w:t>
      </w:r>
    </w:p>
    <w:p w:rsidR="00CD2DFD" w:rsidRDefault="00CD2DFD" w:rsidP="00CD2DFD">
      <w:pPr>
        <w:adjustRightInd w:val="0"/>
        <w:snapToGrid w:val="0"/>
        <w:spacing w:line="500" w:lineRule="exact"/>
        <w:ind w:firstLineChars="200" w:firstLine="681"/>
        <w:rPr>
          <w:rFonts w:ascii="仿宋_GB2312" w:hAnsi="仿宋_GB2312" w:cs="仿宋_GB2312" w:hint="eastAsia"/>
          <w:b/>
          <w:bCs/>
          <w:szCs w:val="32"/>
        </w:rPr>
      </w:pPr>
      <w:r>
        <w:rPr>
          <w:rFonts w:ascii="仿宋_GB2312" w:hAnsi="仿宋_GB2312" w:cs="仿宋_GB2312" w:hint="eastAsia"/>
          <w:b/>
          <w:bCs/>
          <w:szCs w:val="32"/>
        </w:rPr>
        <w:t xml:space="preserve">（四）招商引资 </w:t>
      </w:r>
    </w:p>
    <w:p w:rsidR="00CD2DFD" w:rsidRDefault="00CD2DFD" w:rsidP="00CD2DFD">
      <w:pPr>
        <w:adjustRightInd w:val="0"/>
        <w:snapToGrid w:val="0"/>
        <w:spacing w:line="500" w:lineRule="exact"/>
        <w:ind w:firstLineChars="200" w:firstLine="628"/>
        <w:rPr>
          <w:rFonts w:ascii="仿宋_GB2312" w:hAnsi="仿宋_GB2312" w:cs="仿宋_GB2312" w:hint="eastAsia"/>
          <w:szCs w:val="32"/>
        </w:rPr>
      </w:pPr>
      <w:r>
        <w:rPr>
          <w:rFonts w:ascii="仿宋_GB2312" w:hAnsi="仿宋_GB2312" w:cs="仿宋_GB2312" w:hint="eastAsia"/>
          <w:szCs w:val="32"/>
        </w:rPr>
        <w:t>上海市软件和信息服务产业基地应拥有固定的招商引资团队，聚焦主体产业链、创新链，加大引进企业力度，保障空间资源充分利用；在空间租赁、物业服务、办公装修等方面，要因企施策，主动释放优质资源，提供优惠支持；在产业合作、市场拓展、技术服务等企业需求方面，要主动搭台，集聚行业应用、场景应用、商业服务、技术服务、数据开放等资源；综合基地企业入驻率应超过70%，特色基地企业入驻率应超过75%，拥有一定数量的上市企业、高新技术企业、科技小巨人企业、专精特新企业、企业技术中心等科技含量高、成长潜力好的企业。</w:t>
      </w:r>
    </w:p>
    <w:p w:rsidR="00CD2DFD" w:rsidRDefault="00CD2DFD" w:rsidP="00CD2DFD">
      <w:pPr>
        <w:spacing w:line="600" w:lineRule="exact"/>
        <w:ind w:firstLineChars="200" w:firstLine="669"/>
        <w:rPr>
          <w:rFonts w:ascii="方正仿宋_GB2312" w:eastAsia="方正仿宋_GB2312" w:hAnsi="方正仿宋_GB2312" w:cs="方正仿宋_GB2312" w:hint="eastAsia"/>
          <w:b/>
          <w:bCs/>
          <w:szCs w:val="32"/>
        </w:rPr>
      </w:pPr>
    </w:p>
    <w:p w:rsidR="00CD2DFD" w:rsidRDefault="00CD2DFD" w:rsidP="00CD2DFD">
      <w:pPr>
        <w:spacing w:line="600" w:lineRule="exact"/>
        <w:ind w:firstLineChars="200" w:firstLine="669"/>
        <w:rPr>
          <w:rFonts w:ascii="方正仿宋_GB2312" w:eastAsia="方正仿宋_GB2312" w:hAnsi="方正仿宋_GB2312" w:cs="方正仿宋_GB2312" w:hint="eastAsia"/>
          <w:b/>
          <w:bCs/>
          <w:szCs w:val="32"/>
        </w:rPr>
      </w:pPr>
    </w:p>
    <w:p w:rsidR="00CD2DFD" w:rsidRDefault="00CD2DFD" w:rsidP="00CD2DFD">
      <w:pPr>
        <w:spacing w:line="600" w:lineRule="exact"/>
        <w:ind w:firstLineChars="200" w:firstLine="669"/>
        <w:rPr>
          <w:rFonts w:ascii="方正仿宋_GB2312" w:eastAsia="方正仿宋_GB2312" w:hAnsi="方正仿宋_GB2312" w:cs="方正仿宋_GB2312" w:hint="eastAsia"/>
          <w:b/>
          <w:bCs/>
          <w:szCs w:val="32"/>
        </w:rPr>
      </w:pPr>
    </w:p>
    <w:p w:rsidR="00CD2DFD" w:rsidRDefault="00CD2DFD" w:rsidP="00CD2DFD">
      <w:pPr>
        <w:spacing w:line="600" w:lineRule="exact"/>
        <w:ind w:firstLineChars="200" w:firstLine="669"/>
        <w:rPr>
          <w:rFonts w:ascii="方正仿宋_GB2312" w:eastAsia="方正仿宋_GB2312" w:hAnsi="方正仿宋_GB2312" w:cs="方正仿宋_GB2312" w:hint="eastAsia"/>
          <w:b/>
          <w:bCs/>
          <w:szCs w:val="32"/>
        </w:rPr>
      </w:pPr>
    </w:p>
    <w:p w:rsidR="00CD2DFD" w:rsidRDefault="00CD2DFD" w:rsidP="00CD2DFD">
      <w:pPr>
        <w:spacing w:line="600" w:lineRule="exact"/>
        <w:ind w:firstLineChars="200" w:firstLine="669"/>
        <w:rPr>
          <w:rFonts w:ascii="方正仿宋_GB2312" w:eastAsia="方正仿宋_GB2312" w:hAnsi="方正仿宋_GB2312" w:cs="方正仿宋_GB2312" w:hint="eastAsia"/>
          <w:b/>
          <w:bCs/>
          <w:szCs w:val="32"/>
        </w:rPr>
      </w:pPr>
    </w:p>
    <w:p w:rsidR="00CD2DFD" w:rsidRDefault="00CD2DFD" w:rsidP="00CD2DFD">
      <w:pPr>
        <w:spacing w:line="600" w:lineRule="exact"/>
        <w:ind w:firstLineChars="200" w:firstLine="669"/>
        <w:rPr>
          <w:rFonts w:ascii="方正仿宋_GB2312" w:eastAsia="方正仿宋_GB2312" w:hAnsi="方正仿宋_GB2312" w:cs="方正仿宋_GB2312" w:hint="eastAsia"/>
          <w:b/>
          <w:bCs/>
          <w:szCs w:val="32"/>
        </w:rPr>
      </w:pPr>
    </w:p>
    <w:p w:rsidR="00CD2DFD" w:rsidRDefault="00CD2DFD" w:rsidP="00CD2DFD">
      <w:pPr>
        <w:spacing w:line="600" w:lineRule="exact"/>
        <w:ind w:firstLineChars="200" w:firstLine="669"/>
        <w:rPr>
          <w:rFonts w:ascii="方正仿宋_GB2312" w:eastAsia="方正仿宋_GB2312" w:hAnsi="方正仿宋_GB2312" w:cs="方正仿宋_GB2312" w:hint="eastAsia"/>
          <w:b/>
          <w:bCs/>
          <w:szCs w:val="32"/>
        </w:rPr>
      </w:pPr>
    </w:p>
    <w:p w:rsidR="00CD2DFD" w:rsidRDefault="00CD2DFD" w:rsidP="00CD2DFD">
      <w:pPr>
        <w:spacing w:line="600" w:lineRule="exact"/>
        <w:ind w:firstLineChars="200" w:firstLine="669"/>
        <w:rPr>
          <w:rFonts w:ascii="方正仿宋_GB2312" w:eastAsia="方正仿宋_GB2312" w:hAnsi="方正仿宋_GB2312" w:cs="方正仿宋_GB2312" w:hint="eastAsia"/>
          <w:b/>
          <w:bCs/>
          <w:szCs w:val="32"/>
        </w:rPr>
      </w:pPr>
    </w:p>
    <w:p w:rsidR="00CD2DFD" w:rsidRDefault="00CD2DFD" w:rsidP="00CD2DFD">
      <w:pPr>
        <w:spacing w:line="600" w:lineRule="exact"/>
        <w:ind w:firstLineChars="200" w:firstLine="669"/>
        <w:rPr>
          <w:rFonts w:ascii="方正仿宋_GB2312" w:eastAsia="方正仿宋_GB2312" w:hAnsi="方正仿宋_GB2312" w:cs="方正仿宋_GB2312" w:hint="eastAsia"/>
          <w:b/>
          <w:bCs/>
          <w:szCs w:val="32"/>
        </w:rPr>
      </w:pPr>
    </w:p>
    <w:p w:rsidR="00CD2DFD" w:rsidRDefault="00CD2DFD" w:rsidP="00CD2DFD">
      <w:pPr>
        <w:spacing w:line="600" w:lineRule="exact"/>
        <w:ind w:firstLineChars="200" w:firstLine="669"/>
        <w:rPr>
          <w:rFonts w:ascii="方正仿宋_GB2312" w:eastAsia="方正仿宋_GB2312" w:hAnsi="方正仿宋_GB2312" w:cs="方正仿宋_GB2312" w:hint="eastAsia"/>
          <w:b/>
          <w:bCs/>
          <w:szCs w:val="32"/>
        </w:rPr>
      </w:pPr>
    </w:p>
    <w:p w:rsidR="00CD2DFD" w:rsidRDefault="00CD2DFD" w:rsidP="00CD2DFD">
      <w:pPr>
        <w:spacing w:line="600" w:lineRule="exact"/>
        <w:ind w:firstLineChars="200" w:firstLine="669"/>
        <w:rPr>
          <w:rFonts w:ascii="方正仿宋_GB2312" w:eastAsia="方正仿宋_GB2312" w:hAnsi="方正仿宋_GB2312" w:cs="方正仿宋_GB2312" w:hint="eastAsia"/>
          <w:b/>
          <w:bCs/>
          <w:szCs w:val="32"/>
        </w:rPr>
      </w:pPr>
    </w:p>
    <w:p w:rsidR="00CD2DFD" w:rsidRDefault="00CD2DFD" w:rsidP="00CD2DFD">
      <w:pPr>
        <w:spacing w:line="600" w:lineRule="exact"/>
        <w:ind w:firstLineChars="200" w:firstLine="669"/>
        <w:rPr>
          <w:rFonts w:ascii="方正仿宋_GB2312" w:eastAsia="方正仿宋_GB2312" w:hAnsi="方正仿宋_GB2312" w:cs="方正仿宋_GB2312" w:hint="eastAsia"/>
          <w:b/>
          <w:bCs/>
          <w:szCs w:val="32"/>
        </w:rPr>
      </w:pPr>
    </w:p>
    <w:p w:rsidR="00CD2DFD" w:rsidRDefault="00CD2DFD" w:rsidP="00CD2DFD">
      <w:pPr>
        <w:spacing w:line="600" w:lineRule="exact"/>
        <w:ind w:firstLineChars="200" w:firstLine="669"/>
        <w:rPr>
          <w:rFonts w:ascii="方正仿宋_GB2312" w:eastAsia="方正仿宋_GB2312" w:hAnsi="方正仿宋_GB2312" w:cs="方正仿宋_GB2312" w:hint="eastAsia"/>
          <w:b/>
          <w:bCs/>
          <w:szCs w:val="32"/>
        </w:rPr>
      </w:pPr>
    </w:p>
    <w:p w:rsidR="00CD2DFD" w:rsidRDefault="00CD2DFD" w:rsidP="00CD2DFD">
      <w:pPr>
        <w:spacing w:line="600" w:lineRule="exact"/>
        <w:jc w:val="center"/>
        <w:rPr>
          <w:rFonts w:ascii="仿宋_GB2312" w:hAnsi="仿宋_GB2312" w:cs="仿宋_GB2312" w:hint="eastAsia"/>
          <w:b/>
          <w:bCs/>
          <w:szCs w:val="32"/>
        </w:rPr>
      </w:pPr>
      <w:r>
        <w:rPr>
          <w:rFonts w:ascii="仿宋_GB2312" w:hAnsi="仿宋_GB2312" w:cs="仿宋_GB2312" w:hint="eastAsia"/>
          <w:b/>
          <w:bCs/>
          <w:szCs w:val="32"/>
        </w:rPr>
        <w:t>上海市软件和信息服务产业基地评估条件一览表</w:t>
      </w:r>
    </w:p>
    <w:tbl>
      <w:tblPr>
        <w:tblW w:w="104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776"/>
        <w:gridCol w:w="1496"/>
        <w:gridCol w:w="2419"/>
        <w:gridCol w:w="1305"/>
        <w:gridCol w:w="1301"/>
        <w:gridCol w:w="1455"/>
        <w:gridCol w:w="1734"/>
      </w:tblGrid>
      <w:tr w:rsidR="00CD2DFD" w:rsidTr="00A62206">
        <w:trPr>
          <w:trHeight w:val="365"/>
          <w:tblHeader/>
          <w:jc w:val="center"/>
        </w:trPr>
        <w:tc>
          <w:tcPr>
            <w:tcW w:w="776" w:type="dxa"/>
            <w:vMerge w:val="restart"/>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b/>
                <w:bCs/>
                <w:sz w:val="24"/>
              </w:rPr>
            </w:pPr>
            <w:r>
              <w:rPr>
                <w:rFonts w:ascii="仿宋_GB2312" w:hAnsi="仿宋_GB2312" w:cs="仿宋_GB2312" w:hint="eastAsia"/>
                <w:b/>
                <w:bCs/>
                <w:sz w:val="24"/>
              </w:rPr>
              <w:t>序号</w:t>
            </w:r>
          </w:p>
        </w:tc>
        <w:tc>
          <w:tcPr>
            <w:tcW w:w="1496" w:type="dxa"/>
            <w:vMerge w:val="restart"/>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b/>
                <w:bCs/>
                <w:sz w:val="24"/>
              </w:rPr>
            </w:pPr>
            <w:r>
              <w:rPr>
                <w:rFonts w:ascii="仿宋_GB2312" w:hAnsi="仿宋_GB2312" w:cs="仿宋_GB2312" w:hint="eastAsia"/>
                <w:b/>
                <w:bCs/>
                <w:sz w:val="24"/>
              </w:rPr>
              <w:t>分 类</w:t>
            </w:r>
          </w:p>
        </w:tc>
        <w:tc>
          <w:tcPr>
            <w:tcW w:w="2419" w:type="dxa"/>
            <w:vMerge w:val="restart"/>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b/>
                <w:bCs/>
                <w:sz w:val="24"/>
              </w:rPr>
            </w:pPr>
            <w:r>
              <w:rPr>
                <w:rFonts w:ascii="仿宋_GB2312" w:hAnsi="仿宋_GB2312" w:cs="仿宋_GB2312" w:hint="eastAsia"/>
                <w:b/>
                <w:bCs/>
                <w:sz w:val="24"/>
              </w:rPr>
              <w:t>指  标</w:t>
            </w:r>
          </w:p>
        </w:tc>
        <w:tc>
          <w:tcPr>
            <w:tcW w:w="5795" w:type="dxa"/>
            <w:gridSpan w:val="4"/>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b/>
                <w:bCs/>
                <w:sz w:val="24"/>
              </w:rPr>
            </w:pPr>
            <w:r>
              <w:rPr>
                <w:rFonts w:ascii="仿宋_GB2312" w:hAnsi="仿宋_GB2312" w:cs="仿宋_GB2312" w:hint="eastAsia"/>
                <w:b/>
                <w:bCs/>
                <w:sz w:val="24"/>
              </w:rPr>
              <w:t>达标条件</w:t>
            </w:r>
          </w:p>
        </w:tc>
      </w:tr>
      <w:tr w:rsidR="00CD2DFD" w:rsidTr="00A62206">
        <w:trPr>
          <w:trHeight w:val="205"/>
          <w:tblHeader/>
          <w:jc w:val="center"/>
        </w:trPr>
        <w:tc>
          <w:tcPr>
            <w:tcW w:w="776" w:type="dxa"/>
            <w:vMerge/>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b/>
                <w:bCs/>
                <w:sz w:val="24"/>
              </w:rPr>
            </w:pPr>
          </w:p>
        </w:tc>
        <w:tc>
          <w:tcPr>
            <w:tcW w:w="1496" w:type="dxa"/>
            <w:vMerge/>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b/>
                <w:bCs/>
                <w:sz w:val="24"/>
              </w:rPr>
            </w:pPr>
          </w:p>
        </w:tc>
        <w:tc>
          <w:tcPr>
            <w:tcW w:w="2419" w:type="dxa"/>
            <w:vMerge/>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b/>
                <w:bCs/>
                <w:sz w:val="24"/>
              </w:rPr>
            </w:pPr>
          </w:p>
        </w:tc>
        <w:tc>
          <w:tcPr>
            <w:tcW w:w="2606"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b/>
                <w:bCs/>
                <w:sz w:val="24"/>
              </w:rPr>
            </w:pPr>
            <w:r>
              <w:rPr>
                <w:rFonts w:ascii="仿宋_GB2312" w:hAnsi="仿宋_GB2312" w:cs="仿宋_GB2312" w:hint="eastAsia"/>
                <w:b/>
                <w:bCs/>
                <w:sz w:val="24"/>
              </w:rPr>
              <w:t>综合基地</w:t>
            </w:r>
          </w:p>
        </w:tc>
        <w:tc>
          <w:tcPr>
            <w:tcW w:w="3189"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b/>
                <w:bCs/>
                <w:sz w:val="24"/>
              </w:rPr>
            </w:pPr>
            <w:r>
              <w:rPr>
                <w:rFonts w:ascii="仿宋_GB2312" w:hAnsi="仿宋_GB2312" w:cs="仿宋_GB2312" w:hint="eastAsia"/>
                <w:b/>
                <w:bCs/>
                <w:sz w:val="24"/>
              </w:rPr>
              <w:t>特色基地</w:t>
            </w:r>
          </w:p>
        </w:tc>
      </w:tr>
      <w:tr w:rsidR="00CD2DFD" w:rsidTr="00A62206">
        <w:trPr>
          <w:trHeight w:val="331"/>
          <w:tblHeader/>
          <w:jc w:val="center"/>
        </w:trPr>
        <w:tc>
          <w:tcPr>
            <w:tcW w:w="776" w:type="dxa"/>
            <w:vMerge/>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b/>
                <w:bCs/>
                <w:sz w:val="24"/>
              </w:rPr>
            </w:pPr>
          </w:p>
        </w:tc>
        <w:tc>
          <w:tcPr>
            <w:tcW w:w="1496" w:type="dxa"/>
            <w:vMerge/>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b/>
                <w:bCs/>
                <w:sz w:val="24"/>
              </w:rPr>
            </w:pPr>
          </w:p>
        </w:tc>
        <w:tc>
          <w:tcPr>
            <w:tcW w:w="2419" w:type="dxa"/>
            <w:vMerge/>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b/>
                <w:bCs/>
                <w:sz w:val="24"/>
              </w:rPr>
            </w:pPr>
          </w:p>
        </w:tc>
        <w:tc>
          <w:tcPr>
            <w:tcW w:w="1305"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b/>
                <w:bCs/>
                <w:sz w:val="24"/>
              </w:rPr>
            </w:pPr>
            <w:r>
              <w:rPr>
                <w:rFonts w:ascii="仿宋_GB2312" w:hAnsi="仿宋_GB2312" w:cs="仿宋_GB2312" w:hint="eastAsia"/>
                <w:b/>
                <w:bCs/>
                <w:sz w:val="24"/>
              </w:rPr>
              <w:t>示范型</w:t>
            </w:r>
          </w:p>
        </w:tc>
        <w:tc>
          <w:tcPr>
            <w:tcW w:w="1301"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b/>
                <w:bCs/>
                <w:sz w:val="24"/>
              </w:rPr>
            </w:pPr>
            <w:r>
              <w:rPr>
                <w:rFonts w:ascii="仿宋_GB2312" w:hAnsi="仿宋_GB2312" w:cs="仿宋_GB2312" w:hint="eastAsia"/>
                <w:b/>
                <w:bCs/>
                <w:sz w:val="24"/>
              </w:rPr>
              <w:t>培育型</w:t>
            </w:r>
          </w:p>
        </w:tc>
        <w:tc>
          <w:tcPr>
            <w:tcW w:w="1455"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b/>
                <w:bCs/>
                <w:sz w:val="24"/>
              </w:rPr>
            </w:pPr>
            <w:r>
              <w:rPr>
                <w:rFonts w:ascii="仿宋_GB2312" w:hAnsi="仿宋_GB2312" w:cs="仿宋_GB2312" w:hint="eastAsia"/>
                <w:b/>
                <w:bCs/>
                <w:sz w:val="24"/>
              </w:rPr>
              <w:t>示范型</w:t>
            </w:r>
          </w:p>
        </w:tc>
        <w:tc>
          <w:tcPr>
            <w:tcW w:w="1734"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b/>
                <w:bCs/>
                <w:sz w:val="24"/>
              </w:rPr>
            </w:pPr>
            <w:r>
              <w:rPr>
                <w:rFonts w:ascii="仿宋_GB2312" w:hAnsi="仿宋_GB2312" w:cs="仿宋_GB2312" w:hint="eastAsia"/>
                <w:b/>
                <w:bCs/>
                <w:sz w:val="24"/>
              </w:rPr>
              <w:t>培育型</w:t>
            </w:r>
          </w:p>
        </w:tc>
      </w:tr>
      <w:tr w:rsidR="00CD2DFD" w:rsidTr="00A62206">
        <w:trPr>
          <w:jc w:val="center"/>
        </w:trPr>
        <w:tc>
          <w:tcPr>
            <w:tcW w:w="776"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1</w:t>
            </w:r>
          </w:p>
        </w:tc>
        <w:tc>
          <w:tcPr>
            <w:tcW w:w="1496" w:type="dxa"/>
            <w:vMerge w:val="restart"/>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r>
              <w:rPr>
                <w:rFonts w:ascii="仿宋_GB2312" w:hAnsi="仿宋_GB2312" w:cs="仿宋_GB2312" w:hint="eastAsia"/>
                <w:sz w:val="24"/>
              </w:rPr>
              <w:t>（一）产业定位</w:t>
            </w:r>
          </w:p>
        </w:tc>
        <w:tc>
          <w:tcPr>
            <w:tcW w:w="2419" w:type="dxa"/>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r>
              <w:rPr>
                <w:rFonts w:ascii="仿宋_GB2312" w:hAnsi="仿宋_GB2312" w:cs="仿宋_GB2312" w:hint="eastAsia"/>
                <w:sz w:val="24"/>
              </w:rPr>
              <w:t>细分产业业态</w:t>
            </w:r>
          </w:p>
        </w:tc>
        <w:tc>
          <w:tcPr>
            <w:tcW w:w="2606"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≧3个</w:t>
            </w:r>
          </w:p>
        </w:tc>
        <w:tc>
          <w:tcPr>
            <w:tcW w:w="3189"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 xml:space="preserve"> 1-2个</w:t>
            </w:r>
          </w:p>
        </w:tc>
      </w:tr>
      <w:tr w:rsidR="00CD2DFD" w:rsidTr="00A62206">
        <w:trPr>
          <w:trHeight w:val="567"/>
          <w:jc w:val="center"/>
        </w:trPr>
        <w:tc>
          <w:tcPr>
            <w:tcW w:w="776"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2</w:t>
            </w:r>
          </w:p>
        </w:tc>
        <w:tc>
          <w:tcPr>
            <w:tcW w:w="1496" w:type="dxa"/>
            <w:vMerge/>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p>
        </w:tc>
        <w:tc>
          <w:tcPr>
            <w:tcW w:w="2419" w:type="dxa"/>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color w:val="000000"/>
                <w:sz w:val="24"/>
              </w:rPr>
            </w:pPr>
            <w:r>
              <w:rPr>
                <w:rFonts w:ascii="仿宋_GB2312" w:hAnsi="仿宋_GB2312" w:cs="仿宋_GB2312" w:hint="eastAsia"/>
                <w:color w:val="000000"/>
                <w:sz w:val="24"/>
              </w:rPr>
              <w:t>主体产业产值比重</w:t>
            </w:r>
          </w:p>
        </w:tc>
        <w:tc>
          <w:tcPr>
            <w:tcW w:w="2606"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color w:val="000000"/>
                <w:sz w:val="24"/>
              </w:rPr>
            </w:pPr>
            <w:r>
              <w:rPr>
                <w:rFonts w:ascii="仿宋_GB2312" w:hAnsi="仿宋_GB2312" w:cs="仿宋_GB2312" w:hint="eastAsia"/>
                <w:sz w:val="24"/>
              </w:rPr>
              <w:t>≧50%</w:t>
            </w:r>
          </w:p>
        </w:tc>
        <w:tc>
          <w:tcPr>
            <w:tcW w:w="3189"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color w:val="000000"/>
                <w:sz w:val="24"/>
              </w:rPr>
            </w:pPr>
            <w:r>
              <w:rPr>
                <w:rFonts w:ascii="仿宋_GB2312" w:hAnsi="仿宋_GB2312" w:cs="仿宋_GB2312" w:hint="eastAsia"/>
                <w:color w:val="000000"/>
                <w:sz w:val="24"/>
              </w:rPr>
              <w:t>≧70%</w:t>
            </w:r>
          </w:p>
        </w:tc>
      </w:tr>
      <w:tr w:rsidR="00CD2DFD" w:rsidTr="00A62206">
        <w:trPr>
          <w:trHeight w:val="331"/>
          <w:jc w:val="center"/>
        </w:trPr>
        <w:tc>
          <w:tcPr>
            <w:tcW w:w="776"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3</w:t>
            </w:r>
          </w:p>
        </w:tc>
        <w:tc>
          <w:tcPr>
            <w:tcW w:w="1496" w:type="dxa"/>
            <w:vMerge w:val="restart"/>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r>
              <w:rPr>
                <w:rFonts w:ascii="仿宋_GB2312" w:hAnsi="仿宋_GB2312" w:cs="仿宋_GB2312" w:hint="eastAsia"/>
                <w:sz w:val="24"/>
              </w:rPr>
              <w:t>（二）开发规模</w:t>
            </w:r>
          </w:p>
        </w:tc>
        <w:tc>
          <w:tcPr>
            <w:tcW w:w="2419" w:type="dxa"/>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color w:val="000000"/>
                <w:sz w:val="24"/>
              </w:rPr>
            </w:pPr>
            <w:r>
              <w:rPr>
                <w:rFonts w:ascii="仿宋_GB2312" w:hAnsi="仿宋_GB2312" w:cs="仿宋_GB2312" w:hint="eastAsia"/>
                <w:color w:val="000000"/>
                <w:sz w:val="24"/>
              </w:rPr>
              <w:t>四至范围</w:t>
            </w:r>
          </w:p>
        </w:tc>
        <w:tc>
          <w:tcPr>
            <w:tcW w:w="1305"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color w:val="000000"/>
                <w:sz w:val="24"/>
              </w:rPr>
            </w:pPr>
            <w:r>
              <w:rPr>
                <w:rFonts w:ascii="仿宋_GB2312" w:hAnsi="仿宋_GB2312" w:cs="仿宋_GB2312" w:hint="eastAsia"/>
                <w:color w:val="000000"/>
                <w:sz w:val="24"/>
              </w:rPr>
              <w:t>有</w:t>
            </w:r>
          </w:p>
        </w:tc>
        <w:tc>
          <w:tcPr>
            <w:tcW w:w="1301"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color w:val="000000"/>
                <w:sz w:val="24"/>
              </w:rPr>
            </w:pPr>
            <w:r>
              <w:rPr>
                <w:rFonts w:ascii="仿宋_GB2312" w:hAnsi="仿宋_GB2312" w:cs="仿宋_GB2312" w:hint="eastAsia"/>
                <w:color w:val="000000"/>
                <w:sz w:val="24"/>
              </w:rPr>
              <w:t>有</w:t>
            </w:r>
          </w:p>
        </w:tc>
        <w:tc>
          <w:tcPr>
            <w:tcW w:w="1455"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color w:val="000000"/>
                <w:sz w:val="24"/>
              </w:rPr>
            </w:pPr>
            <w:r>
              <w:rPr>
                <w:rFonts w:ascii="仿宋_GB2312" w:hAnsi="仿宋_GB2312" w:cs="仿宋_GB2312" w:hint="eastAsia"/>
                <w:color w:val="000000"/>
                <w:sz w:val="24"/>
              </w:rPr>
              <w:t>有</w:t>
            </w:r>
          </w:p>
        </w:tc>
        <w:tc>
          <w:tcPr>
            <w:tcW w:w="1734"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color w:val="000000"/>
                <w:sz w:val="24"/>
              </w:rPr>
            </w:pPr>
            <w:r>
              <w:rPr>
                <w:rFonts w:ascii="仿宋_GB2312" w:hAnsi="仿宋_GB2312" w:cs="仿宋_GB2312" w:hint="eastAsia"/>
                <w:color w:val="000000"/>
                <w:sz w:val="24"/>
              </w:rPr>
              <w:t>有</w:t>
            </w:r>
          </w:p>
        </w:tc>
      </w:tr>
      <w:tr w:rsidR="00CD2DFD" w:rsidTr="00A62206">
        <w:trPr>
          <w:jc w:val="center"/>
        </w:trPr>
        <w:tc>
          <w:tcPr>
            <w:tcW w:w="776"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4</w:t>
            </w:r>
          </w:p>
        </w:tc>
        <w:tc>
          <w:tcPr>
            <w:tcW w:w="1496" w:type="dxa"/>
            <w:vMerge/>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p>
        </w:tc>
        <w:tc>
          <w:tcPr>
            <w:tcW w:w="2419" w:type="dxa"/>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color w:val="000000"/>
                <w:sz w:val="24"/>
              </w:rPr>
            </w:pPr>
            <w:r>
              <w:rPr>
                <w:rFonts w:ascii="仿宋_GB2312" w:hAnsi="仿宋_GB2312" w:cs="仿宋_GB2312" w:hint="eastAsia"/>
                <w:color w:val="000000"/>
                <w:sz w:val="24"/>
              </w:rPr>
              <w:t>占地面积或办公面积</w:t>
            </w:r>
          </w:p>
        </w:tc>
        <w:tc>
          <w:tcPr>
            <w:tcW w:w="2606"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color w:val="000000"/>
                <w:sz w:val="24"/>
              </w:rPr>
            </w:pPr>
            <w:r>
              <w:rPr>
                <w:rFonts w:ascii="仿宋_GB2312" w:hAnsi="仿宋_GB2312" w:cs="仿宋_GB2312" w:hint="eastAsia"/>
                <w:color w:val="000000"/>
                <w:sz w:val="24"/>
              </w:rPr>
              <w:t>≧20公顷或≧8万平米</w:t>
            </w:r>
          </w:p>
        </w:tc>
        <w:tc>
          <w:tcPr>
            <w:tcW w:w="3189"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color w:val="000000"/>
                <w:sz w:val="24"/>
              </w:rPr>
            </w:pPr>
            <w:r>
              <w:rPr>
                <w:rFonts w:ascii="仿宋_GB2312" w:hAnsi="仿宋_GB2312" w:cs="仿宋_GB2312" w:hint="eastAsia"/>
                <w:color w:val="000000"/>
                <w:sz w:val="24"/>
              </w:rPr>
              <w:t>≧5公顷或≧5万平米</w:t>
            </w:r>
          </w:p>
        </w:tc>
      </w:tr>
      <w:tr w:rsidR="00CD2DFD" w:rsidTr="00A62206">
        <w:trPr>
          <w:jc w:val="center"/>
        </w:trPr>
        <w:tc>
          <w:tcPr>
            <w:tcW w:w="776"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5</w:t>
            </w:r>
          </w:p>
        </w:tc>
        <w:tc>
          <w:tcPr>
            <w:tcW w:w="1496" w:type="dxa"/>
            <w:vMerge/>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p>
        </w:tc>
        <w:tc>
          <w:tcPr>
            <w:tcW w:w="2419" w:type="dxa"/>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r>
              <w:rPr>
                <w:rFonts w:ascii="仿宋_GB2312" w:hAnsi="仿宋_GB2312" w:cs="仿宋_GB2312" w:hint="eastAsia"/>
                <w:sz w:val="24"/>
              </w:rPr>
              <w:t>开发强度</w:t>
            </w:r>
          </w:p>
        </w:tc>
        <w:tc>
          <w:tcPr>
            <w:tcW w:w="2606"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≧2.0-3.0</w:t>
            </w:r>
          </w:p>
        </w:tc>
        <w:tc>
          <w:tcPr>
            <w:tcW w:w="3189"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≧2.0-3.0</w:t>
            </w:r>
          </w:p>
        </w:tc>
      </w:tr>
      <w:tr w:rsidR="00CD2DFD" w:rsidTr="00A62206">
        <w:trPr>
          <w:jc w:val="center"/>
        </w:trPr>
        <w:tc>
          <w:tcPr>
            <w:tcW w:w="776"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6</w:t>
            </w:r>
          </w:p>
        </w:tc>
        <w:tc>
          <w:tcPr>
            <w:tcW w:w="1496" w:type="dxa"/>
            <w:vMerge/>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p>
        </w:tc>
        <w:tc>
          <w:tcPr>
            <w:tcW w:w="2419" w:type="dxa"/>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r>
              <w:rPr>
                <w:rFonts w:ascii="仿宋_GB2312" w:hAnsi="仿宋_GB2312" w:cs="仿宋_GB2312" w:hint="eastAsia"/>
                <w:sz w:val="24"/>
              </w:rPr>
              <w:t>产业用地比重</w:t>
            </w:r>
          </w:p>
        </w:tc>
        <w:tc>
          <w:tcPr>
            <w:tcW w:w="1305"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≧60%</w:t>
            </w:r>
          </w:p>
        </w:tc>
        <w:tc>
          <w:tcPr>
            <w:tcW w:w="1301"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≧40%</w:t>
            </w:r>
          </w:p>
        </w:tc>
        <w:tc>
          <w:tcPr>
            <w:tcW w:w="1455"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≧60%</w:t>
            </w:r>
          </w:p>
        </w:tc>
        <w:tc>
          <w:tcPr>
            <w:tcW w:w="1734"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≧40%</w:t>
            </w:r>
          </w:p>
        </w:tc>
      </w:tr>
      <w:tr w:rsidR="00CD2DFD" w:rsidTr="00A62206">
        <w:trPr>
          <w:jc w:val="center"/>
        </w:trPr>
        <w:tc>
          <w:tcPr>
            <w:tcW w:w="776"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7</w:t>
            </w:r>
          </w:p>
        </w:tc>
        <w:tc>
          <w:tcPr>
            <w:tcW w:w="1496" w:type="dxa"/>
            <w:vMerge/>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p>
        </w:tc>
        <w:tc>
          <w:tcPr>
            <w:tcW w:w="2419" w:type="dxa"/>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r>
              <w:rPr>
                <w:rFonts w:ascii="仿宋_GB2312" w:hAnsi="仿宋_GB2312" w:cs="仿宋_GB2312" w:hint="eastAsia"/>
                <w:sz w:val="24"/>
              </w:rPr>
              <w:t>公共空间用地</w:t>
            </w:r>
          </w:p>
        </w:tc>
        <w:tc>
          <w:tcPr>
            <w:tcW w:w="2606"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≧15%</w:t>
            </w:r>
          </w:p>
        </w:tc>
        <w:tc>
          <w:tcPr>
            <w:tcW w:w="3189"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≧15%</w:t>
            </w:r>
          </w:p>
        </w:tc>
      </w:tr>
      <w:tr w:rsidR="00CD2DFD" w:rsidTr="00A62206">
        <w:trPr>
          <w:jc w:val="center"/>
        </w:trPr>
        <w:tc>
          <w:tcPr>
            <w:tcW w:w="776"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8</w:t>
            </w:r>
          </w:p>
        </w:tc>
        <w:tc>
          <w:tcPr>
            <w:tcW w:w="1496" w:type="dxa"/>
            <w:vMerge/>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p>
        </w:tc>
        <w:tc>
          <w:tcPr>
            <w:tcW w:w="2419" w:type="dxa"/>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r>
              <w:rPr>
                <w:rFonts w:ascii="仿宋_GB2312" w:hAnsi="仿宋_GB2312" w:cs="仿宋_GB2312" w:hint="eastAsia"/>
                <w:sz w:val="24"/>
              </w:rPr>
              <w:t>基地公共配套</w:t>
            </w:r>
          </w:p>
        </w:tc>
        <w:tc>
          <w:tcPr>
            <w:tcW w:w="2606"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步行10分钟</w:t>
            </w:r>
          </w:p>
        </w:tc>
        <w:tc>
          <w:tcPr>
            <w:tcW w:w="3189"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步行10分钟</w:t>
            </w:r>
          </w:p>
        </w:tc>
      </w:tr>
      <w:tr w:rsidR="00CD2DFD" w:rsidTr="00A62206">
        <w:trPr>
          <w:jc w:val="center"/>
        </w:trPr>
        <w:tc>
          <w:tcPr>
            <w:tcW w:w="776"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9</w:t>
            </w:r>
          </w:p>
        </w:tc>
        <w:tc>
          <w:tcPr>
            <w:tcW w:w="1496" w:type="dxa"/>
            <w:vMerge/>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p>
        </w:tc>
        <w:tc>
          <w:tcPr>
            <w:tcW w:w="2419" w:type="dxa"/>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r>
              <w:rPr>
                <w:rFonts w:ascii="仿宋_GB2312" w:hAnsi="仿宋_GB2312" w:cs="仿宋_GB2312" w:hint="eastAsia"/>
                <w:sz w:val="24"/>
              </w:rPr>
              <w:t>周边公共配套</w:t>
            </w:r>
          </w:p>
        </w:tc>
        <w:tc>
          <w:tcPr>
            <w:tcW w:w="2606"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车程10分钟</w:t>
            </w:r>
          </w:p>
        </w:tc>
        <w:tc>
          <w:tcPr>
            <w:tcW w:w="3189"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车程10分钟</w:t>
            </w:r>
          </w:p>
        </w:tc>
      </w:tr>
      <w:tr w:rsidR="00CD2DFD" w:rsidTr="00A62206">
        <w:trPr>
          <w:jc w:val="center"/>
        </w:trPr>
        <w:tc>
          <w:tcPr>
            <w:tcW w:w="776"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10</w:t>
            </w:r>
          </w:p>
        </w:tc>
        <w:tc>
          <w:tcPr>
            <w:tcW w:w="1496" w:type="dxa"/>
            <w:vMerge/>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p>
        </w:tc>
        <w:tc>
          <w:tcPr>
            <w:tcW w:w="2419" w:type="dxa"/>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r>
              <w:rPr>
                <w:rFonts w:ascii="仿宋_GB2312" w:hAnsi="仿宋_GB2312" w:cs="仿宋_GB2312" w:hint="eastAsia"/>
                <w:sz w:val="24"/>
              </w:rPr>
              <w:t>基地全路网密度</w:t>
            </w:r>
          </w:p>
        </w:tc>
        <w:tc>
          <w:tcPr>
            <w:tcW w:w="2606"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≧8-10公里/平方公里</w:t>
            </w:r>
          </w:p>
        </w:tc>
        <w:tc>
          <w:tcPr>
            <w:tcW w:w="3189"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w:t>
            </w:r>
          </w:p>
        </w:tc>
      </w:tr>
      <w:tr w:rsidR="00CD2DFD" w:rsidTr="00A62206">
        <w:trPr>
          <w:trHeight w:val="391"/>
          <w:jc w:val="center"/>
        </w:trPr>
        <w:tc>
          <w:tcPr>
            <w:tcW w:w="776"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11</w:t>
            </w:r>
          </w:p>
        </w:tc>
        <w:tc>
          <w:tcPr>
            <w:tcW w:w="1496" w:type="dxa"/>
            <w:vMerge w:val="restart"/>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color w:val="FF0000"/>
                <w:sz w:val="24"/>
              </w:rPr>
            </w:pPr>
            <w:r>
              <w:rPr>
                <w:rFonts w:ascii="仿宋_GB2312" w:hAnsi="仿宋_GB2312" w:cs="仿宋_GB2312" w:hint="eastAsia"/>
                <w:color w:val="000000"/>
                <w:sz w:val="24"/>
              </w:rPr>
              <w:t>（三）产业能级</w:t>
            </w:r>
          </w:p>
        </w:tc>
        <w:tc>
          <w:tcPr>
            <w:tcW w:w="2419" w:type="dxa"/>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r>
              <w:rPr>
                <w:rFonts w:ascii="仿宋_GB2312" w:hAnsi="仿宋_GB2312" w:cs="仿宋_GB2312" w:hint="eastAsia"/>
                <w:sz w:val="24"/>
              </w:rPr>
              <w:t>年度经营收入</w:t>
            </w:r>
          </w:p>
        </w:tc>
        <w:tc>
          <w:tcPr>
            <w:tcW w:w="1305"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100亿元</w:t>
            </w:r>
          </w:p>
        </w:tc>
        <w:tc>
          <w:tcPr>
            <w:tcW w:w="1301"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30亿元</w:t>
            </w:r>
          </w:p>
        </w:tc>
        <w:tc>
          <w:tcPr>
            <w:tcW w:w="1455"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10亿元</w:t>
            </w:r>
          </w:p>
        </w:tc>
        <w:tc>
          <w:tcPr>
            <w:tcW w:w="1734"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3亿元</w:t>
            </w:r>
          </w:p>
        </w:tc>
      </w:tr>
      <w:tr w:rsidR="00CD2DFD" w:rsidTr="00A62206">
        <w:trPr>
          <w:trHeight w:val="908"/>
          <w:jc w:val="center"/>
        </w:trPr>
        <w:tc>
          <w:tcPr>
            <w:tcW w:w="776"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12</w:t>
            </w:r>
          </w:p>
        </w:tc>
        <w:tc>
          <w:tcPr>
            <w:tcW w:w="1496" w:type="dxa"/>
            <w:vMerge/>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color w:val="FF0000"/>
                <w:sz w:val="24"/>
              </w:rPr>
            </w:pPr>
          </w:p>
        </w:tc>
        <w:tc>
          <w:tcPr>
            <w:tcW w:w="2419" w:type="dxa"/>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r>
              <w:rPr>
                <w:rFonts w:ascii="仿宋_GB2312" w:hAnsi="仿宋_GB2312" w:cs="仿宋_GB2312" w:hint="eastAsia"/>
                <w:sz w:val="24"/>
              </w:rPr>
              <w:t>其中：软件和信息服务业年度经营收入占比</w:t>
            </w:r>
          </w:p>
        </w:tc>
        <w:tc>
          <w:tcPr>
            <w:tcW w:w="1305"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＞60%</w:t>
            </w:r>
          </w:p>
        </w:tc>
        <w:tc>
          <w:tcPr>
            <w:tcW w:w="1301"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＞60%</w:t>
            </w:r>
          </w:p>
        </w:tc>
        <w:tc>
          <w:tcPr>
            <w:tcW w:w="1455"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＞60%</w:t>
            </w:r>
          </w:p>
        </w:tc>
        <w:tc>
          <w:tcPr>
            <w:tcW w:w="1734"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＞60%</w:t>
            </w:r>
          </w:p>
        </w:tc>
      </w:tr>
      <w:tr w:rsidR="00CD2DFD" w:rsidTr="00A62206">
        <w:trPr>
          <w:jc w:val="center"/>
        </w:trPr>
        <w:tc>
          <w:tcPr>
            <w:tcW w:w="776"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13</w:t>
            </w:r>
          </w:p>
        </w:tc>
        <w:tc>
          <w:tcPr>
            <w:tcW w:w="1496" w:type="dxa"/>
            <w:vMerge/>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color w:val="FF0000"/>
                <w:sz w:val="24"/>
              </w:rPr>
            </w:pPr>
          </w:p>
        </w:tc>
        <w:tc>
          <w:tcPr>
            <w:tcW w:w="2419" w:type="dxa"/>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r>
              <w:rPr>
                <w:rFonts w:ascii="仿宋_GB2312" w:hAnsi="仿宋_GB2312" w:cs="仿宋_GB2312" w:hint="eastAsia"/>
                <w:sz w:val="24"/>
              </w:rPr>
              <w:t>就业人数</w:t>
            </w:r>
          </w:p>
        </w:tc>
        <w:tc>
          <w:tcPr>
            <w:tcW w:w="1305"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＞8000人</w:t>
            </w:r>
          </w:p>
        </w:tc>
        <w:tc>
          <w:tcPr>
            <w:tcW w:w="1301"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＞3000人</w:t>
            </w:r>
          </w:p>
        </w:tc>
        <w:tc>
          <w:tcPr>
            <w:tcW w:w="1455"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＞1000人</w:t>
            </w:r>
          </w:p>
        </w:tc>
        <w:tc>
          <w:tcPr>
            <w:tcW w:w="1734"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＞300人</w:t>
            </w:r>
          </w:p>
        </w:tc>
      </w:tr>
      <w:tr w:rsidR="00CD2DFD" w:rsidTr="00A62206">
        <w:trPr>
          <w:jc w:val="center"/>
        </w:trPr>
        <w:tc>
          <w:tcPr>
            <w:tcW w:w="776"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14</w:t>
            </w:r>
          </w:p>
        </w:tc>
        <w:tc>
          <w:tcPr>
            <w:tcW w:w="1496" w:type="dxa"/>
            <w:vMerge/>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color w:val="FF0000"/>
                <w:sz w:val="24"/>
              </w:rPr>
            </w:pPr>
          </w:p>
        </w:tc>
        <w:tc>
          <w:tcPr>
            <w:tcW w:w="2419" w:type="dxa"/>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r>
              <w:rPr>
                <w:rFonts w:ascii="仿宋_GB2312" w:hAnsi="仿宋_GB2312" w:cs="仿宋_GB2312" w:hint="eastAsia"/>
                <w:sz w:val="24"/>
              </w:rPr>
              <w:t>软件和信息服务业就业人数</w:t>
            </w:r>
          </w:p>
        </w:tc>
        <w:tc>
          <w:tcPr>
            <w:tcW w:w="1305"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＞4800人</w:t>
            </w:r>
          </w:p>
        </w:tc>
        <w:tc>
          <w:tcPr>
            <w:tcW w:w="1301"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＞1800人</w:t>
            </w:r>
          </w:p>
        </w:tc>
        <w:tc>
          <w:tcPr>
            <w:tcW w:w="1455"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＞600人</w:t>
            </w:r>
          </w:p>
        </w:tc>
        <w:tc>
          <w:tcPr>
            <w:tcW w:w="1734"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＞180人</w:t>
            </w:r>
          </w:p>
        </w:tc>
      </w:tr>
      <w:tr w:rsidR="00CD2DFD" w:rsidTr="00A62206">
        <w:trPr>
          <w:jc w:val="center"/>
        </w:trPr>
        <w:tc>
          <w:tcPr>
            <w:tcW w:w="776"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15</w:t>
            </w:r>
          </w:p>
        </w:tc>
        <w:tc>
          <w:tcPr>
            <w:tcW w:w="1496" w:type="dxa"/>
            <w:vMerge/>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color w:val="FF0000"/>
                <w:sz w:val="24"/>
              </w:rPr>
            </w:pPr>
          </w:p>
        </w:tc>
        <w:tc>
          <w:tcPr>
            <w:tcW w:w="2419" w:type="dxa"/>
            <w:shd w:val="clear" w:color="auto" w:fill="FFFFFF"/>
            <w:vAlign w:val="center"/>
          </w:tcPr>
          <w:p w:rsidR="00CD2DFD" w:rsidRDefault="00CD2DFD" w:rsidP="00A62206">
            <w:pPr>
              <w:adjustRightInd w:val="0"/>
              <w:snapToGrid w:val="0"/>
              <w:spacing w:line="300" w:lineRule="exact"/>
              <w:jc w:val="left"/>
              <w:rPr>
                <w:rFonts w:ascii="仿宋_GB2312" w:hAnsi="仿宋_GB2312" w:cs="仿宋_GB2312" w:hint="eastAsia"/>
                <w:color w:val="FF0000"/>
                <w:sz w:val="24"/>
              </w:rPr>
            </w:pPr>
            <w:r>
              <w:rPr>
                <w:rFonts w:ascii="仿宋_GB2312" w:hAnsi="仿宋_GB2312" w:cs="仿宋_GB2312" w:hint="eastAsia"/>
                <w:sz w:val="24"/>
              </w:rPr>
              <w:t>优质企业数量（业务收入超过亿元的企业、国家规划布局内重点软件企业、技术创新能力强、年收入超2000万元企业等）</w:t>
            </w:r>
          </w:p>
        </w:tc>
        <w:tc>
          <w:tcPr>
            <w:tcW w:w="1305"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≧25家</w:t>
            </w:r>
          </w:p>
        </w:tc>
        <w:tc>
          <w:tcPr>
            <w:tcW w:w="1301"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≧12家</w:t>
            </w:r>
          </w:p>
        </w:tc>
        <w:tc>
          <w:tcPr>
            <w:tcW w:w="1455"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≧10家</w:t>
            </w:r>
          </w:p>
        </w:tc>
        <w:tc>
          <w:tcPr>
            <w:tcW w:w="1734"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 xml:space="preserve">≧5家 </w:t>
            </w:r>
          </w:p>
        </w:tc>
      </w:tr>
      <w:tr w:rsidR="00CD2DFD" w:rsidTr="00A62206">
        <w:trPr>
          <w:jc w:val="center"/>
        </w:trPr>
        <w:tc>
          <w:tcPr>
            <w:tcW w:w="776"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16</w:t>
            </w:r>
          </w:p>
        </w:tc>
        <w:tc>
          <w:tcPr>
            <w:tcW w:w="1496" w:type="dxa"/>
            <w:vMerge/>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color w:val="FF0000"/>
                <w:sz w:val="24"/>
              </w:rPr>
            </w:pPr>
          </w:p>
        </w:tc>
        <w:tc>
          <w:tcPr>
            <w:tcW w:w="2419" w:type="dxa"/>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color w:val="000000"/>
                <w:sz w:val="24"/>
              </w:rPr>
            </w:pPr>
            <w:r>
              <w:rPr>
                <w:rFonts w:ascii="仿宋_GB2312" w:hAnsi="仿宋_GB2312" w:cs="仿宋_GB2312" w:hint="eastAsia"/>
                <w:color w:val="000000"/>
                <w:spacing w:val="-17"/>
                <w:sz w:val="24"/>
              </w:rPr>
              <w:t>自主知识产权数量比例</w:t>
            </w:r>
          </w:p>
        </w:tc>
        <w:tc>
          <w:tcPr>
            <w:tcW w:w="2606"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color w:val="000000"/>
                <w:sz w:val="24"/>
              </w:rPr>
            </w:pPr>
            <w:r>
              <w:rPr>
                <w:rFonts w:ascii="仿宋_GB2312" w:hAnsi="仿宋_GB2312" w:cs="仿宋_GB2312" w:hint="eastAsia"/>
                <w:color w:val="000000"/>
                <w:sz w:val="24"/>
              </w:rPr>
              <w:t>高于全市平均水平</w:t>
            </w:r>
          </w:p>
        </w:tc>
        <w:tc>
          <w:tcPr>
            <w:tcW w:w="3189"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color w:val="000000"/>
                <w:sz w:val="24"/>
              </w:rPr>
            </w:pPr>
            <w:r>
              <w:rPr>
                <w:rFonts w:ascii="仿宋_GB2312" w:hAnsi="仿宋_GB2312" w:cs="仿宋_GB2312" w:hint="eastAsia"/>
                <w:color w:val="000000"/>
                <w:sz w:val="24"/>
              </w:rPr>
              <w:t>高于全市平均水平</w:t>
            </w:r>
          </w:p>
        </w:tc>
      </w:tr>
      <w:tr w:rsidR="00CD2DFD" w:rsidTr="00A62206">
        <w:trPr>
          <w:jc w:val="center"/>
        </w:trPr>
        <w:tc>
          <w:tcPr>
            <w:tcW w:w="776"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17</w:t>
            </w:r>
          </w:p>
        </w:tc>
        <w:tc>
          <w:tcPr>
            <w:tcW w:w="1496" w:type="dxa"/>
            <w:vMerge w:val="restart"/>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r>
              <w:rPr>
                <w:rFonts w:ascii="仿宋_GB2312" w:hAnsi="仿宋_GB2312" w:cs="仿宋_GB2312" w:hint="eastAsia"/>
                <w:sz w:val="24"/>
              </w:rPr>
              <w:t>（四）招商引资</w:t>
            </w:r>
          </w:p>
        </w:tc>
        <w:tc>
          <w:tcPr>
            <w:tcW w:w="2419" w:type="dxa"/>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r>
              <w:rPr>
                <w:rFonts w:ascii="仿宋_GB2312" w:hAnsi="仿宋_GB2312" w:cs="仿宋_GB2312" w:hint="eastAsia"/>
                <w:sz w:val="24"/>
              </w:rPr>
              <w:t>部门配置</w:t>
            </w:r>
          </w:p>
        </w:tc>
        <w:tc>
          <w:tcPr>
            <w:tcW w:w="2606"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有</w:t>
            </w:r>
          </w:p>
        </w:tc>
        <w:tc>
          <w:tcPr>
            <w:tcW w:w="3189"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有</w:t>
            </w:r>
          </w:p>
        </w:tc>
      </w:tr>
      <w:tr w:rsidR="00CD2DFD" w:rsidTr="00A62206">
        <w:trPr>
          <w:jc w:val="center"/>
        </w:trPr>
        <w:tc>
          <w:tcPr>
            <w:tcW w:w="776"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18</w:t>
            </w:r>
          </w:p>
        </w:tc>
        <w:tc>
          <w:tcPr>
            <w:tcW w:w="1496" w:type="dxa"/>
            <w:vMerge/>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p>
        </w:tc>
        <w:tc>
          <w:tcPr>
            <w:tcW w:w="2419" w:type="dxa"/>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r>
              <w:rPr>
                <w:rFonts w:ascii="仿宋_GB2312" w:hAnsi="仿宋_GB2312" w:cs="仿宋_GB2312" w:hint="eastAsia"/>
                <w:sz w:val="24"/>
              </w:rPr>
              <w:t>惠企措施</w:t>
            </w:r>
          </w:p>
        </w:tc>
        <w:tc>
          <w:tcPr>
            <w:tcW w:w="2606"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≧3项</w:t>
            </w:r>
          </w:p>
        </w:tc>
        <w:tc>
          <w:tcPr>
            <w:tcW w:w="3189"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≧3项</w:t>
            </w:r>
          </w:p>
        </w:tc>
      </w:tr>
      <w:tr w:rsidR="00CD2DFD" w:rsidTr="00A62206">
        <w:trPr>
          <w:jc w:val="center"/>
        </w:trPr>
        <w:tc>
          <w:tcPr>
            <w:tcW w:w="776"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19</w:t>
            </w:r>
          </w:p>
        </w:tc>
        <w:tc>
          <w:tcPr>
            <w:tcW w:w="1496" w:type="dxa"/>
            <w:vMerge/>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p>
        </w:tc>
        <w:tc>
          <w:tcPr>
            <w:tcW w:w="2419" w:type="dxa"/>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r>
              <w:rPr>
                <w:rFonts w:ascii="仿宋_GB2312" w:hAnsi="仿宋_GB2312" w:cs="仿宋_GB2312" w:hint="eastAsia"/>
                <w:sz w:val="24"/>
              </w:rPr>
              <w:t>资源平台</w:t>
            </w:r>
          </w:p>
        </w:tc>
        <w:tc>
          <w:tcPr>
            <w:tcW w:w="2606"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≧3个</w:t>
            </w:r>
          </w:p>
        </w:tc>
        <w:tc>
          <w:tcPr>
            <w:tcW w:w="3189"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≧3个</w:t>
            </w:r>
          </w:p>
        </w:tc>
      </w:tr>
      <w:tr w:rsidR="00CD2DFD" w:rsidTr="00A62206">
        <w:trPr>
          <w:trHeight w:val="191"/>
          <w:jc w:val="center"/>
        </w:trPr>
        <w:tc>
          <w:tcPr>
            <w:tcW w:w="776" w:type="dxa"/>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20</w:t>
            </w:r>
          </w:p>
        </w:tc>
        <w:tc>
          <w:tcPr>
            <w:tcW w:w="1496" w:type="dxa"/>
            <w:vMerge/>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sz w:val="24"/>
              </w:rPr>
            </w:pPr>
          </w:p>
        </w:tc>
        <w:tc>
          <w:tcPr>
            <w:tcW w:w="2419" w:type="dxa"/>
            <w:shd w:val="clear" w:color="auto" w:fill="FFFFFF"/>
            <w:vAlign w:val="center"/>
          </w:tcPr>
          <w:p w:rsidR="00CD2DFD" w:rsidRDefault="00CD2DFD" w:rsidP="00A62206">
            <w:pPr>
              <w:adjustRightInd w:val="0"/>
              <w:snapToGrid w:val="0"/>
              <w:spacing w:line="300" w:lineRule="exact"/>
              <w:rPr>
                <w:rFonts w:ascii="仿宋_GB2312" w:hAnsi="仿宋_GB2312" w:cs="仿宋_GB2312" w:hint="eastAsia"/>
                <w:color w:val="000000"/>
                <w:sz w:val="24"/>
              </w:rPr>
            </w:pPr>
            <w:r>
              <w:rPr>
                <w:rFonts w:ascii="仿宋_GB2312" w:hAnsi="仿宋_GB2312" w:cs="仿宋_GB2312" w:hint="eastAsia"/>
                <w:color w:val="000000"/>
                <w:sz w:val="24"/>
              </w:rPr>
              <w:t>入驻率</w:t>
            </w:r>
          </w:p>
        </w:tc>
        <w:tc>
          <w:tcPr>
            <w:tcW w:w="2606"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≧70%</w:t>
            </w:r>
          </w:p>
        </w:tc>
        <w:tc>
          <w:tcPr>
            <w:tcW w:w="3189" w:type="dxa"/>
            <w:gridSpan w:val="2"/>
            <w:shd w:val="clear" w:color="auto" w:fill="FFFFFF"/>
            <w:vAlign w:val="center"/>
          </w:tcPr>
          <w:p w:rsidR="00CD2DFD" w:rsidRDefault="00CD2DFD" w:rsidP="00A62206">
            <w:pPr>
              <w:adjustRightInd w:val="0"/>
              <w:snapToGrid w:val="0"/>
              <w:spacing w:line="300" w:lineRule="exact"/>
              <w:jc w:val="center"/>
              <w:rPr>
                <w:rFonts w:ascii="仿宋_GB2312" w:hAnsi="仿宋_GB2312" w:cs="仿宋_GB2312" w:hint="eastAsia"/>
                <w:sz w:val="24"/>
              </w:rPr>
            </w:pPr>
            <w:r>
              <w:rPr>
                <w:rFonts w:ascii="仿宋_GB2312" w:hAnsi="仿宋_GB2312" w:cs="仿宋_GB2312" w:hint="eastAsia"/>
                <w:sz w:val="24"/>
              </w:rPr>
              <w:t>≧75%</w:t>
            </w:r>
          </w:p>
        </w:tc>
      </w:tr>
    </w:tbl>
    <w:p w:rsidR="00037E0F" w:rsidRDefault="00037E0F"/>
    <w:sectPr w:rsidR="00037E0F" w:rsidSect="00037E0F">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仿宋_GB2312">
    <w:altName w:val="FangSong_GB2312"/>
    <w:charset w:val="86"/>
    <w:family w:val="modern"/>
    <w:pitch w:val="default"/>
    <w:sig w:usb0="00000001" w:usb1="080E0000" w:usb2="00000000" w:usb3="00000000" w:csb0="00040000" w:csb1="00000000"/>
  </w:font>
  <w:font w:name="黑体">
    <w:panose1 w:val="02010609060101010101"/>
    <w:charset w:val="50"/>
    <w:family w:val="auto"/>
    <w:pitch w:val="variable"/>
    <w:sig w:usb0="800002BF" w:usb1="38CF7CFA" w:usb2="00000016" w:usb3="00000000" w:csb0="00040001" w:csb1="00000000"/>
  </w:font>
  <w:font w:name="方正小标宋简体">
    <w:altName w:val="FZXiaoBiaoSong-B05S"/>
    <w:charset w:val="86"/>
    <w:family w:val="auto"/>
    <w:pitch w:val="default"/>
    <w:sig w:usb0="00000001" w:usb1="080E0000" w:usb2="00000000" w:usb3="00000000" w:csb0="00040000" w:csb1="00000000"/>
  </w:font>
  <w:font w:name="方正仿宋_GB2312">
    <w:altName w:val="Microsoft YaHei"/>
    <w:charset w:val="00"/>
    <w:family w:val="auto"/>
    <w:pitch w:val="default"/>
    <w:sig w:usb0="00000000" w:usb1="00000000" w:usb2="00000012"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FD"/>
    <w:rsid w:val="00037E0F"/>
    <w:rsid w:val="00CD2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8BA6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DFD"/>
    <w:pPr>
      <w:widowControl w:val="0"/>
      <w:spacing w:line="240" w:lineRule="atLeast"/>
      <w:jc w:val="both"/>
    </w:pPr>
    <w:rPr>
      <w:rFonts w:ascii="Times New Roman" w:eastAsia="仿宋_GB2312" w:hAnsi="Times New Roman" w:cs="Times New Roman"/>
      <w:spacing w:val="-6"/>
      <w:sz w:val="32"/>
      <w:szCs w:val="20"/>
    </w:rPr>
  </w:style>
  <w:style w:type="paragraph" w:styleId="1">
    <w:name w:val="heading 1"/>
    <w:basedOn w:val="a"/>
    <w:next w:val="a"/>
    <w:link w:val="10"/>
    <w:qFormat/>
    <w:rsid w:val="00CD2DFD"/>
    <w:pPr>
      <w:spacing w:before="100" w:beforeAutospacing="1" w:after="100" w:afterAutospacing="1" w:line="240" w:lineRule="auto"/>
      <w:jc w:val="left"/>
      <w:outlineLvl w:val="0"/>
    </w:pPr>
    <w:rPr>
      <w:rFonts w:ascii="宋体" w:eastAsia="宋体" w:hAnsi="宋体" w:hint="eastAsia"/>
      <w:b/>
      <w:bCs/>
      <w:spacing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rsid w:val="00CD2DFD"/>
    <w:rPr>
      <w:rFonts w:ascii="宋体" w:eastAsia="宋体" w:hAnsi="宋体" w:cs="Times New Roman"/>
      <w:b/>
      <w:bCs/>
      <w:kern w:val="44"/>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DFD"/>
    <w:pPr>
      <w:widowControl w:val="0"/>
      <w:spacing w:line="240" w:lineRule="atLeast"/>
      <w:jc w:val="both"/>
    </w:pPr>
    <w:rPr>
      <w:rFonts w:ascii="Times New Roman" w:eastAsia="仿宋_GB2312" w:hAnsi="Times New Roman" w:cs="Times New Roman"/>
      <w:spacing w:val="-6"/>
      <w:sz w:val="32"/>
      <w:szCs w:val="20"/>
    </w:rPr>
  </w:style>
  <w:style w:type="paragraph" w:styleId="1">
    <w:name w:val="heading 1"/>
    <w:basedOn w:val="a"/>
    <w:next w:val="a"/>
    <w:link w:val="10"/>
    <w:qFormat/>
    <w:rsid w:val="00CD2DFD"/>
    <w:pPr>
      <w:spacing w:before="100" w:beforeAutospacing="1" w:after="100" w:afterAutospacing="1" w:line="240" w:lineRule="auto"/>
      <w:jc w:val="left"/>
      <w:outlineLvl w:val="0"/>
    </w:pPr>
    <w:rPr>
      <w:rFonts w:ascii="宋体" w:eastAsia="宋体" w:hAnsi="宋体" w:hint="eastAsia"/>
      <w:b/>
      <w:bCs/>
      <w:spacing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rsid w:val="00CD2DFD"/>
    <w:rPr>
      <w:rFonts w:ascii="宋体" w:eastAsia="宋体" w:hAnsi="宋体" w:cs="Times New Roman"/>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343</Words>
  <Characters>1958</Characters>
  <Application>Microsoft Macintosh Word</Application>
  <DocSecurity>0</DocSecurity>
  <Lines>16</Lines>
  <Paragraphs>4</Paragraphs>
  <ScaleCrop>false</ScaleCrop>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Wu</dc:creator>
  <cp:keywords/>
  <dc:description/>
  <cp:lastModifiedBy>yl Wu</cp:lastModifiedBy>
  <cp:revision>1</cp:revision>
  <dcterms:created xsi:type="dcterms:W3CDTF">2023-05-10T08:15:00Z</dcterms:created>
  <dcterms:modified xsi:type="dcterms:W3CDTF">2023-05-10T08:16:00Z</dcterms:modified>
</cp:coreProperties>
</file>