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472" w:rsidRDefault="00D80472" w:rsidP="00D80472">
      <w:pPr>
        <w:pStyle w:val="1"/>
        <w:spacing w:before="0" w:after="0" w:line="480" w:lineRule="exact"/>
        <w:rPr>
          <w:rFonts w:ascii="黑体" w:eastAsia="黑体" w:hAnsi="黑体" w:cs="黑体" w:hint="eastAsia"/>
          <w:b w:val="0"/>
          <w:sz w:val="32"/>
        </w:rPr>
      </w:pPr>
      <w:r>
        <w:rPr>
          <w:rFonts w:ascii="黑体" w:eastAsia="黑体" w:hAnsi="黑体" w:cs="黑体" w:hint="eastAsia"/>
          <w:b w:val="0"/>
          <w:sz w:val="32"/>
        </w:rPr>
        <w:t>附件5</w:t>
      </w:r>
    </w:p>
    <w:p w:rsidR="00D80472" w:rsidRDefault="00D80472" w:rsidP="00D80472">
      <w:pPr>
        <w:widowControl/>
        <w:jc w:val="center"/>
        <w:rPr>
          <w:rFonts w:ascii="宋体" w:hAnsi="宋体"/>
          <w:b/>
          <w:color w:val="000000"/>
          <w:sz w:val="52"/>
        </w:rPr>
      </w:pPr>
    </w:p>
    <w:p w:rsidR="00D80472" w:rsidRDefault="00D80472" w:rsidP="00D80472">
      <w:pPr>
        <w:widowControl/>
        <w:jc w:val="center"/>
        <w:rPr>
          <w:rFonts w:ascii="宋体" w:hAnsi="宋体"/>
          <w:b/>
          <w:color w:val="000000"/>
          <w:sz w:val="52"/>
        </w:rPr>
      </w:pPr>
    </w:p>
    <w:p w:rsidR="00D80472" w:rsidRDefault="00D80472" w:rsidP="00D80472">
      <w:pPr>
        <w:widowControl/>
        <w:jc w:val="center"/>
        <w:rPr>
          <w:rFonts w:ascii="黑体" w:eastAsia="黑体" w:hAnsi="宋体"/>
          <w:b/>
          <w:color w:val="000000"/>
          <w:sz w:val="52"/>
        </w:rPr>
      </w:pPr>
      <w:r>
        <w:rPr>
          <w:rFonts w:ascii="黑体" w:eastAsia="黑体" w:hAnsi="宋体" w:hint="eastAsia"/>
          <w:b/>
          <w:color w:val="000000"/>
          <w:sz w:val="52"/>
        </w:rPr>
        <w:t>能效“领跑者”自评估报告大纲</w:t>
      </w:r>
    </w:p>
    <w:p w:rsidR="00D80472" w:rsidRDefault="00D80472" w:rsidP="00D80472">
      <w:pPr>
        <w:widowControl/>
        <w:jc w:val="center"/>
        <w:rPr>
          <w:rFonts w:ascii="黑体" w:eastAsia="黑体" w:hAnsi="宋体"/>
          <w:b/>
          <w:color w:val="000000"/>
          <w:sz w:val="52"/>
        </w:rPr>
      </w:pPr>
      <w:r>
        <w:rPr>
          <w:rFonts w:ascii="黑体" w:eastAsia="黑体" w:hAnsi="宋体" w:hint="eastAsia"/>
          <w:b/>
          <w:color w:val="000000"/>
          <w:sz w:val="52"/>
        </w:rPr>
        <w:t>（工业领域）</w:t>
      </w:r>
    </w:p>
    <w:p w:rsidR="00D80472" w:rsidRDefault="00D80472" w:rsidP="00D80472">
      <w:pPr>
        <w:widowControl/>
        <w:jc w:val="center"/>
        <w:rPr>
          <w:rFonts w:ascii="宋体" w:hAnsi="宋体"/>
          <w:b/>
          <w:color w:val="000000"/>
          <w:sz w:val="44"/>
        </w:rPr>
      </w:pPr>
    </w:p>
    <w:p w:rsidR="00D80472" w:rsidRDefault="00D80472" w:rsidP="00D80472">
      <w:pPr>
        <w:widowControl/>
        <w:jc w:val="center"/>
        <w:rPr>
          <w:rFonts w:ascii="宋体" w:hAnsi="宋体"/>
          <w:b/>
          <w:color w:val="000000"/>
          <w:sz w:val="44"/>
        </w:rPr>
      </w:pPr>
    </w:p>
    <w:p w:rsidR="00D80472" w:rsidRDefault="00D80472" w:rsidP="00D80472">
      <w:pPr>
        <w:widowControl/>
        <w:jc w:val="center"/>
        <w:rPr>
          <w:rFonts w:ascii="宋体" w:hAnsi="宋体"/>
          <w:b/>
          <w:color w:val="000000"/>
          <w:sz w:val="44"/>
        </w:rPr>
      </w:pPr>
    </w:p>
    <w:p w:rsidR="00D80472" w:rsidRDefault="00D80472" w:rsidP="00D80472">
      <w:pPr>
        <w:widowControl/>
        <w:jc w:val="center"/>
        <w:rPr>
          <w:rFonts w:ascii="宋体" w:hAnsi="宋体"/>
          <w:b/>
          <w:color w:val="000000"/>
          <w:sz w:val="44"/>
        </w:rPr>
      </w:pPr>
    </w:p>
    <w:p w:rsidR="00D80472" w:rsidRDefault="00D80472" w:rsidP="00D80472">
      <w:pPr>
        <w:widowControl/>
        <w:jc w:val="center"/>
        <w:rPr>
          <w:rFonts w:ascii="宋体" w:hAnsi="宋体"/>
          <w:b/>
          <w:color w:val="000000"/>
          <w:sz w:val="44"/>
        </w:rPr>
      </w:pPr>
    </w:p>
    <w:p w:rsidR="00D80472" w:rsidRDefault="00D80472" w:rsidP="00D80472">
      <w:pPr>
        <w:widowControl/>
        <w:jc w:val="center"/>
        <w:rPr>
          <w:rFonts w:ascii="宋体" w:hAnsi="宋体"/>
          <w:b/>
          <w:color w:val="000000"/>
          <w:sz w:val="44"/>
        </w:rPr>
      </w:pPr>
    </w:p>
    <w:p w:rsidR="00D80472" w:rsidRDefault="00D80472" w:rsidP="00D80472">
      <w:pPr>
        <w:widowControl/>
        <w:jc w:val="center"/>
        <w:rPr>
          <w:rFonts w:ascii="宋体" w:hAnsi="宋体"/>
          <w:b/>
          <w:color w:val="000000"/>
          <w:sz w:val="44"/>
        </w:rPr>
      </w:pPr>
    </w:p>
    <w:p w:rsidR="00D80472" w:rsidRDefault="00D80472" w:rsidP="00D80472">
      <w:pPr>
        <w:widowControl/>
        <w:jc w:val="center"/>
        <w:rPr>
          <w:rFonts w:ascii="宋体" w:hAnsi="宋体"/>
          <w:b/>
          <w:color w:val="000000"/>
          <w:sz w:val="44"/>
        </w:rPr>
      </w:pPr>
    </w:p>
    <w:p w:rsidR="00D80472" w:rsidRDefault="00D80472" w:rsidP="00D80472">
      <w:pPr>
        <w:widowControl/>
        <w:jc w:val="center"/>
        <w:rPr>
          <w:rFonts w:ascii="宋体" w:hAnsi="宋体"/>
          <w:b/>
          <w:color w:val="000000"/>
          <w:sz w:val="44"/>
        </w:rPr>
      </w:pPr>
    </w:p>
    <w:p w:rsidR="00D80472" w:rsidRDefault="00D80472" w:rsidP="00D80472">
      <w:pPr>
        <w:widowControl/>
        <w:jc w:val="center"/>
        <w:rPr>
          <w:rFonts w:ascii="宋体" w:hAnsi="宋体"/>
          <w:b/>
          <w:color w:val="000000"/>
          <w:sz w:val="44"/>
        </w:rPr>
      </w:pPr>
    </w:p>
    <w:p w:rsidR="00D80472" w:rsidRDefault="00D80472" w:rsidP="00D80472">
      <w:pPr>
        <w:widowControl/>
        <w:jc w:val="center"/>
        <w:rPr>
          <w:rFonts w:ascii="黑体" w:eastAsia="黑体" w:hAnsi="黑体"/>
          <w:b/>
          <w:color w:val="000000"/>
          <w:szCs w:val="32"/>
        </w:rPr>
      </w:pPr>
      <w:r>
        <w:rPr>
          <w:rFonts w:ascii="黑体" w:eastAsia="黑体" w:hAnsi="黑体" w:hint="eastAsia"/>
          <w:b/>
          <w:color w:val="000000"/>
          <w:szCs w:val="32"/>
        </w:rPr>
        <w:t>XXX公司（企业公章）</w:t>
      </w:r>
    </w:p>
    <w:p w:rsidR="00D80472" w:rsidRDefault="00D80472" w:rsidP="00D80472">
      <w:pPr>
        <w:widowControl/>
        <w:jc w:val="center"/>
        <w:rPr>
          <w:rFonts w:ascii="黑体" w:eastAsia="黑体" w:hAnsi="黑体"/>
          <w:b/>
          <w:color w:val="000000"/>
        </w:rPr>
      </w:pPr>
      <w:r>
        <w:rPr>
          <w:rFonts w:ascii="黑体" w:eastAsia="黑体" w:hAnsi="黑体" w:hint="eastAsia"/>
          <w:b/>
          <w:color w:val="000000"/>
        </w:rPr>
        <w:t>20</w:t>
      </w:r>
      <w:r>
        <w:rPr>
          <w:rFonts w:ascii="黑体" w:eastAsia="黑体" w:hAnsi="黑体" w:hint="eastAsia"/>
          <w:b/>
          <w:color w:val="000000"/>
          <w:szCs w:val="32"/>
        </w:rPr>
        <w:t>XX</w:t>
      </w:r>
      <w:r>
        <w:rPr>
          <w:rFonts w:ascii="黑体" w:eastAsia="黑体" w:hAnsi="黑体" w:hint="eastAsia"/>
          <w:b/>
          <w:color w:val="000000"/>
        </w:rPr>
        <w:t>年</w:t>
      </w:r>
      <w:r>
        <w:rPr>
          <w:rFonts w:ascii="黑体" w:eastAsia="黑体" w:hAnsi="黑体" w:hint="eastAsia"/>
          <w:b/>
          <w:color w:val="000000"/>
          <w:szCs w:val="32"/>
        </w:rPr>
        <w:t>XX</w:t>
      </w:r>
      <w:r>
        <w:rPr>
          <w:rFonts w:ascii="黑体" w:eastAsia="黑体" w:hAnsi="黑体" w:hint="eastAsia"/>
          <w:b/>
          <w:color w:val="000000"/>
        </w:rPr>
        <w:t>月</w:t>
      </w:r>
    </w:p>
    <w:p w:rsidR="00D80472" w:rsidRDefault="00D80472" w:rsidP="00D80472">
      <w:pPr>
        <w:rPr>
          <w:rFonts w:ascii="方正小标宋简体" w:eastAsia="方正小标宋简体" w:hAnsi="宋体"/>
          <w:color w:val="000000"/>
          <w:sz w:val="44"/>
        </w:rPr>
        <w:sectPr w:rsidR="00D80472">
          <w:headerReference w:type="even" r:id="rId4"/>
          <w:headerReference w:type="default" r:id="rId5"/>
          <w:footerReference w:type="even" r:id="rId6"/>
          <w:headerReference w:type="first" r:id="rId7"/>
          <w:footerReference w:type="first" r:id="rId8"/>
          <w:pgSz w:w="11906" w:h="16838"/>
          <w:pgMar w:top="1440" w:right="1800" w:bottom="1440" w:left="1800" w:header="851" w:footer="992" w:gutter="0"/>
          <w:pgNumType w:fmt="numberInDash"/>
          <w:cols w:space="720"/>
          <w:docGrid w:type="lines" w:linePitch="312"/>
        </w:sectPr>
      </w:pPr>
    </w:p>
    <w:p w:rsidR="00D80472" w:rsidRDefault="00D80472" w:rsidP="00D80472">
      <w:pPr>
        <w:spacing w:line="480" w:lineRule="exact"/>
        <w:ind w:firstLineChars="200" w:firstLine="616"/>
        <w:outlineLvl w:val="0"/>
        <w:rPr>
          <w:rFonts w:ascii="黑体" w:eastAsia="黑体" w:hAnsi="黑体" w:cs="黑体" w:hint="eastAsia"/>
          <w:bCs/>
          <w:szCs w:val="32"/>
        </w:rPr>
      </w:pPr>
      <w:bookmarkStart w:id="0" w:name="_Toc463700464"/>
      <w:r>
        <w:rPr>
          <w:rFonts w:ascii="黑体" w:eastAsia="黑体" w:hAnsi="黑体" w:cs="黑体" w:hint="eastAsia"/>
          <w:bCs/>
          <w:szCs w:val="32"/>
        </w:rPr>
        <w:lastRenderedPageBreak/>
        <w:t>一、</w:t>
      </w:r>
      <w:bookmarkEnd w:id="0"/>
      <w:r>
        <w:rPr>
          <w:rFonts w:ascii="黑体" w:eastAsia="黑体" w:hAnsi="黑体" w:cs="黑体" w:hint="eastAsia"/>
          <w:bCs/>
          <w:szCs w:val="32"/>
        </w:rPr>
        <w:t>近期节能工作总结</w:t>
      </w:r>
    </w:p>
    <w:p w:rsidR="00D80472" w:rsidRDefault="00D80472" w:rsidP="00D80472">
      <w:pPr>
        <w:spacing w:line="480" w:lineRule="exact"/>
        <w:ind w:firstLineChars="200" w:firstLine="618"/>
        <w:outlineLvl w:val="1"/>
        <w:rPr>
          <w:rFonts w:ascii="仿宋_GB2312" w:hAnsi="仿宋_GB2312" w:cs="仿宋_GB2312" w:hint="eastAsia"/>
          <w:b/>
          <w:szCs w:val="32"/>
        </w:rPr>
      </w:pPr>
      <w:bookmarkStart w:id="1" w:name="_Toc463700465"/>
      <w:r>
        <w:rPr>
          <w:rFonts w:ascii="仿宋_GB2312" w:hAnsi="仿宋_GB2312" w:cs="仿宋_GB2312" w:hint="eastAsia"/>
          <w:b/>
          <w:szCs w:val="32"/>
        </w:rPr>
        <w:t>1.1能源管理制度建设情况</w:t>
      </w:r>
      <w:bookmarkEnd w:id="1"/>
    </w:p>
    <w:p w:rsidR="00D80472" w:rsidRDefault="00D80472" w:rsidP="00D80472">
      <w:pPr>
        <w:spacing w:line="480" w:lineRule="exact"/>
        <w:ind w:firstLineChars="200" w:firstLine="616"/>
        <w:rPr>
          <w:rFonts w:ascii="仿宋_GB2312" w:hAnsi="仿宋_GB2312" w:cs="仿宋_GB2312" w:hint="eastAsia"/>
          <w:szCs w:val="32"/>
        </w:rPr>
      </w:pPr>
      <w:bookmarkStart w:id="2" w:name="_Toc463700466"/>
      <w:r>
        <w:rPr>
          <w:rFonts w:ascii="仿宋_GB2312" w:hAnsi="仿宋_GB2312" w:cs="仿宋_GB2312" w:hint="eastAsia"/>
          <w:szCs w:val="32"/>
        </w:rPr>
        <w:t>总结企业在能源管理制度方面的工作，包括能源管理制度、节能目标责任制、节能激励约束机制、用能设备维护管理、节能培训与宣传等。</w:t>
      </w:r>
    </w:p>
    <w:p w:rsidR="00D80472" w:rsidRDefault="00D80472" w:rsidP="00D80472">
      <w:pPr>
        <w:spacing w:line="480" w:lineRule="exact"/>
        <w:ind w:firstLineChars="200" w:firstLine="618"/>
        <w:outlineLvl w:val="1"/>
        <w:rPr>
          <w:rFonts w:ascii="仿宋_GB2312" w:hAnsi="仿宋_GB2312" w:cs="仿宋_GB2312" w:hint="eastAsia"/>
          <w:b/>
          <w:szCs w:val="32"/>
        </w:rPr>
      </w:pPr>
      <w:r>
        <w:rPr>
          <w:rFonts w:ascii="仿宋_GB2312" w:hAnsi="仿宋_GB2312" w:cs="仿宋_GB2312" w:hint="eastAsia"/>
          <w:b/>
          <w:szCs w:val="32"/>
        </w:rPr>
        <w:t>1.2节能技术改造情况</w:t>
      </w:r>
      <w:bookmarkEnd w:id="2"/>
    </w:p>
    <w:p w:rsidR="00D80472" w:rsidRDefault="00D80472" w:rsidP="00D80472">
      <w:pPr>
        <w:spacing w:line="480" w:lineRule="exact"/>
        <w:ind w:firstLineChars="200" w:firstLine="616"/>
        <w:rPr>
          <w:rFonts w:ascii="仿宋_GB2312" w:hAnsi="仿宋_GB2312" w:cs="仿宋_GB2312" w:hint="eastAsia"/>
          <w:szCs w:val="32"/>
        </w:rPr>
      </w:pPr>
      <w:bookmarkStart w:id="3" w:name="_Toc463700467"/>
      <w:r>
        <w:rPr>
          <w:rFonts w:ascii="仿宋_GB2312" w:hAnsi="仿宋_GB2312" w:cs="仿宋_GB2312" w:hint="eastAsia"/>
          <w:szCs w:val="32"/>
        </w:rPr>
        <w:t>总结企业在节能技改方面的工作，包括工艺生产过程、主要用能设备的节能措施和节能效果，以及可再生能源利用、余热余压利用等方面的工作。</w:t>
      </w:r>
    </w:p>
    <w:p w:rsidR="00D80472" w:rsidRDefault="00D80472" w:rsidP="00D80472">
      <w:pPr>
        <w:spacing w:line="480" w:lineRule="exact"/>
        <w:ind w:firstLineChars="200" w:firstLine="618"/>
        <w:outlineLvl w:val="1"/>
        <w:rPr>
          <w:rFonts w:ascii="仿宋_GB2312" w:hAnsi="仿宋_GB2312" w:cs="仿宋_GB2312" w:hint="eastAsia"/>
          <w:b/>
          <w:szCs w:val="32"/>
        </w:rPr>
      </w:pPr>
      <w:r>
        <w:rPr>
          <w:rFonts w:ascii="仿宋_GB2312" w:hAnsi="仿宋_GB2312" w:cs="仿宋_GB2312" w:hint="eastAsia"/>
          <w:b/>
          <w:szCs w:val="32"/>
        </w:rPr>
        <w:t>1.3能源管控能力建设情况</w:t>
      </w:r>
      <w:bookmarkEnd w:id="3"/>
    </w:p>
    <w:p w:rsidR="00D80472" w:rsidRDefault="00D80472" w:rsidP="00D80472">
      <w:pPr>
        <w:spacing w:line="480" w:lineRule="exact"/>
        <w:ind w:firstLineChars="200" w:firstLine="596"/>
        <w:rPr>
          <w:rFonts w:ascii="仿宋_GB2312" w:hAnsi="仿宋_GB2312" w:cs="仿宋_GB2312" w:hint="eastAsia"/>
          <w:spacing w:val="-11"/>
          <w:szCs w:val="32"/>
        </w:rPr>
      </w:pPr>
      <w:bookmarkStart w:id="4" w:name="_Toc463700468"/>
      <w:r>
        <w:rPr>
          <w:rFonts w:ascii="仿宋_GB2312" w:hAnsi="仿宋_GB2312" w:cs="仿宋_GB2312" w:hint="eastAsia"/>
          <w:spacing w:val="-11"/>
          <w:szCs w:val="32"/>
        </w:rPr>
        <w:t>总结企业在能源分级分项计量、在线监测系统方面的建设工作，以及能源统计分析、能源审计挖潜等方面的能效对标工作。</w:t>
      </w:r>
    </w:p>
    <w:p w:rsidR="00D80472" w:rsidRDefault="00D80472" w:rsidP="00D80472">
      <w:pPr>
        <w:spacing w:line="480" w:lineRule="exact"/>
        <w:ind w:firstLineChars="200" w:firstLine="616"/>
        <w:outlineLvl w:val="0"/>
        <w:rPr>
          <w:rFonts w:ascii="黑体" w:eastAsia="黑体" w:hAnsi="黑体" w:cs="黑体" w:hint="eastAsia"/>
          <w:bCs/>
          <w:szCs w:val="32"/>
        </w:rPr>
      </w:pPr>
      <w:r>
        <w:rPr>
          <w:rFonts w:ascii="黑体" w:eastAsia="黑体" w:hAnsi="黑体" w:cs="黑体" w:hint="eastAsia"/>
          <w:bCs/>
          <w:szCs w:val="32"/>
        </w:rPr>
        <w:t>二、能效水平项自评估</w:t>
      </w:r>
      <w:bookmarkEnd w:id="4"/>
    </w:p>
    <w:p w:rsidR="00D80472" w:rsidRDefault="00D80472" w:rsidP="00D80472">
      <w:pPr>
        <w:spacing w:line="480" w:lineRule="exact"/>
        <w:ind w:firstLineChars="200" w:firstLine="618"/>
        <w:outlineLvl w:val="1"/>
        <w:rPr>
          <w:rFonts w:ascii="仿宋_GB2312" w:hAnsi="仿宋_GB2312" w:cs="仿宋_GB2312" w:hint="eastAsia"/>
          <w:b/>
          <w:szCs w:val="32"/>
        </w:rPr>
      </w:pPr>
      <w:bookmarkStart w:id="5" w:name="_Toc463700469"/>
      <w:r>
        <w:rPr>
          <w:rFonts w:ascii="仿宋_GB2312" w:hAnsi="仿宋_GB2312" w:cs="仿宋_GB2312" w:hint="eastAsia"/>
          <w:b/>
          <w:szCs w:val="32"/>
        </w:rPr>
        <w:t>2.1 能效水平计算</w:t>
      </w:r>
      <w:bookmarkEnd w:id="5"/>
    </w:p>
    <w:p w:rsidR="00D80472" w:rsidRDefault="00D80472" w:rsidP="00D80472">
      <w:pPr>
        <w:spacing w:line="480" w:lineRule="exact"/>
        <w:ind w:firstLineChars="200" w:firstLine="572"/>
        <w:rPr>
          <w:rFonts w:ascii="仿宋_GB2312" w:hAnsi="仿宋_GB2312" w:cs="仿宋_GB2312" w:hint="eastAsia"/>
          <w:szCs w:val="32"/>
        </w:rPr>
      </w:pPr>
      <w:r>
        <w:rPr>
          <w:rFonts w:ascii="仿宋_GB2312" w:hAnsi="仿宋_GB2312" w:cs="仿宋_GB2312" w:hint="eastAsia"/>
          <w:spacing w:val="-17"/>
          <w:szCs w:val="32"/>
        </w:rPr>
        <w:t>根据相应的能源消耗限额要求，计算出企业的单位产品能耗。</w:t>
      </w:r>
    </w:p>
    <w:p w:rsidR="00D80472" w:rsidRDefault="00D80472" w:rsidP="00D80472">
      <w:pPr>
        <w:spacing w:line="480" w:lineRule="exact"/>
        <w:ind w:firstLineChars="200" w:firstLine="618"/>
        <w:outlineLvl w:val="1"/>
        <w:rPr>
          <w:rFonts w:ascii="仿宋_GB2312" w:hAnsi="仿宋_GB2312" w:cs="仿宋_GB2312" w:hint="eastAsia"/>
          <w:b/>
          <w:szCs w:val="32"/>
        </w:rPr>
      </w:pPr>
      <w:bookmarkStart w:id="6" w:name="_Toc463700470"/>
      <w:r>
        <w:rPr>
          <w:rFonts w:ascii="仿宋_GB2312" w:hAnsi="仿宋_GB2312" w:cs="仿宋_GB2312" w:hint="eastAsia"/>
          <w:b/>
          <w:szCs w:val="32"/>
        </w:rPr>
        <w:t>2.2 能效水平对标及打分</w:t>
      </w:r>
      <w:bookmarkEnd w:id="6"/>
    </w:p>
    <w:p w:rsidR="00D80472" w:rsidRDefault="00D80472" w:rsidP="00D80472">
      <w:pPr>
        <w:tabs>
          <w:tab w:val="left" w:pos="1571"/>
        </w:tabs>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将企业的单位产品能耗与相应的能源消耗限额中的先进值对标，并根据《工业领域上海能效“领跑者”评分标准》中的能效水平项来进行预评分。</w:t>
      </w:r>
    </w:p>
    <w:p w:rsidR="00D80472" w:rsidRDefault="00D80472" w:rsidP="00D80472">
      <w:pPr>
        <w:spacing w:line="480" w:lineRule="exact"/>
        <w:ind w:firstLineChars="200" w:firstLine="616"/>
        <w:outlineLvl w:val="0"/>
        <w:rPr>
          <w:rFonts w:ascii="黑体" w:eastAsia="黑体" w:hAnsi="黑体" w:cs="黑体" w:hint="eastAsia"/>
          <w:bCs/>
          <w:szCs w:val="32"/>
        </w:rPr>
      </w:pPr>
      <w:bookmarkStart w:id="7" w:name="_Toc463700471"/>
      <w:r>
        <w:rPr>
          <w:rFonts w:ascii="黑体" w:eastAsia="黑体" w:hAnsi="黑体" w:cs="黑体" w:hint="eastAsia"/>
          <w:bCs/>
          <w:szCs w:val="32"/>
        </w:rPr>
        <w:t>三、节能措施项自评估</w:t>
      </w:r>
      <w:bookmarkEnd w:id="7"/>
    </w:p>
    <w:p w:rsidR="00D80472" w:rsidRDefault="00D80472" w:rsidP="00D80472">
      <w:pPr>
        <w:tabs>
          <w:tab w:val="left" w:pos="1571"/>
        </w:tabs>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根据《工业领域上海能效“领跑者”评分标准》中的节能措施项，逐一进行预评分，并准备相关证明材料。</w:t>
      </w:r>
    </w:p>
    <w:p w:rsidR="00D80472" w:rsidRDefault="00D80472" w:rsidP="00D80472">
      <w:pPr>
        <w:spacing w:line="480" w:lineRule="exact"/>
        <w:ind w:firstLineChars="200" w:firstLine="618"/>
        <w:outlineLvl w:val="1"/>
        <w:rPr>
          <w:rFonts w:ascii="仿宋_GB2312" w:hAnsi="仿宋_GB2312" w:cs="仿宋_GB2312" w:hint="eastAsia"/>
          <w:b/>
          <w:szCs w:val="32"/>
        </w:rPr>
      </w:pPr>
      <w:r>
        <w:rPr>
          <w:rFonts w:ascii="仿宋_GB2312" w:hAnsi="仿宋_GB2312" w:cs="仿宋_GB2312" w:hint="eastAsia"/>
          <w:b/>
          <w:szCs w:val="32"/>
        </w:rPr>
        <w:t>3.1能源管理制度及规章制度体系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2"/>
        <w:gridCol w:w="992"/>
        <w:gridCol w:w="793"/>
        <w:gridCol w:w="675"/>
      </w:tblGrid>
      <w:tr w:rsidR="00D80472" w:rsidTr="00F511EE">
        <w:trPr>
          <w:trHeight w:val="300"/>
          <w:jc w:val="center"/>
        </w:trPr>
        <w:tc>
          <w:tcPr>
            <w:tcW w:w="6062" w:type="dxa"/>
            <w:vAlign w:val="center"/>
          </w:tcPr>
          <w:p w:rsidR="00D80472" w:rsidRDefault="00D80472" w:rsidP="00F511E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b/>
                <w:color w:val="000000"/>
                <w:kern w:val="0"/>
                <w:sz w:val="24"/>
                <w:szCs w:val="24"/>
              </w:rPr>
              <w:t>评分项</w:t>
            </w:r>
          </w:p>
        </w:tc>
        <w:tc>
          <w:tcPr>
            <w:tcW w:w="992" w:type="dxa"/>
            <w:vAlign w:val="center"/>
          </w:tcPr>
          <w:p w:rsidR="00D80472" w:rsidRDefault="00D80472" w:rsidP="00F511E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b/>
                <w:color w:val="000000"/>
                <w:kern w:val="0"/>
                <w:sz w:val="24"/>
                <w:szCs w:val="24"/>
              </w:rPr>
              <w:t>满分</w:t>
            </w:r>
          </w:p>
        </w:tc>
        <w:tc>
          <w:tcPr>
            <w:tcW w:w="793" w:type="dxa"/>
          </w:tcPr>
          <w:p w:rsidR="00D80472" w:rsidRDefault="00D80472" w:rsidP="00F511EE">
            <w:pPr>
              <w:widowControl/>
              <w:spacing w:line="30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自评分</w:t>
            </w:r>
          </w:p>
        </w:tc>
        <w:tc>
          <w:tcPr>
            <w:tcW w:w="675" w:type="dxa"/>
          </w:tcPr>
          <w:p w:rsidR="00D80472" w:rsidRDefault="00D80472" w:rsidP="00F511EE">
            <w:pPr>
              <w:widowControl/>
              <w:spacing w:line="30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备注</w:t>
            </w:r>
          </w:p>
        </w:tc>
      </w:tr>
      <w:tr w:rsidR="00D80472" w:rsidTr="00F511EE">
        <w:trPr>
          <w:trHeight w:val="300"/>
          <w:jc w:val="center"/>
        </w:trPr>
        <w:tc>
          <w:tcPr>
            <w:tcW w:w="6062" w:type="dxa"/>
            <w:vAlign w:val="center"/>
          </w:tcPr>
          <w:p w:rsidR="00D80472" w:rsidRDefault="00D80472" w:rsidP="00F511E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1）制定完备的能源管理规章制度，且充分体现国家节能法律法规和地方节能政策</w:t>
            </w:r>
          </w:p>
        </w:tc>
        <w:tc>
          <w:tcPr>
            <w:tcW w:w="992" w:type="dxa"/>
            <w:vAlign w:val="center"/>
          </w:tcPr>
          <w:p w:rsidR="00D80472" w:rsidRDefault="00D80472" w:rsidP="00F511E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0.4</w:t>
            </w:r>
          </w:p>
        </w:tc>
        <w:tc>
          <w:tcPr>
            <w:tcW w:w="793"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c>
          <w:tcPr>
            <w:tcW w:w="675"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6062" w:type="dxa"/>
            <w:vAlign w:val="center"/>
          </w:tcPr>
          <w:p w:rsidR="00D80472" w:rsidRDefault="00D80472" w:rsidP="00F511E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2）制定生产环节节能操作规范，日常用能行为规范</w:t>
            </w:r>
          </w:p>
        </w:tc>
        <w:tc>
          <w:tcPr>
            <w:tcW w:w="992" w:type="dxa"/>
            <w:vAlign w:val="center"/>
          </w:tcPr>
          <w:p w:rsidR="00D80472" w:rsidRDefault="00D80472" w:rsidP="00F511E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0.4</w:t>
            </w:r>
          </w:p>
        </w:tc>
        <w:tc>
          <w:tcPr>
            <w:tcW w:w="793"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c>
          <w:tcPr>
            <w:tcW w:w="675"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6062" w:type="dxa"/>
            <w:vAlign w:val="center"/>
          </w:tcPr>
          <w:p w:rsidR="00D80472" w:rsidRDefault="00D80472" w:rsidP="00F511E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3）建立能耗计量和统计规范等相关管理规范</w:t>
            </w:r>
          </w:p>
        </w:tc>
        <w:tc>
          <w:tcPr>
            <w:tcW w:w="992" w:type="dxa"/>
            <w:vAlign w:val="center"/>
          </w:tcPr>
          <w:p w:rsidR="00D80472" w:rsidRDefault="00D80472" w:rsidP="00F511E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0.4</w:t>
            </w:r>
          </w:p>
        </w:tc>
        <w:tc>
          <w:tcPr>
            <w:tcW w:w="793"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c>
          <w:tcPr>
            <w:tcW w:w="675"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6062" w:type="dxa"/>
            <w:vAlign w:val="center"/>
          </w:tcPr>
          <w:p w:rsidR="00D80472" w:rsidRDefault="00D80472" w:rsidP="00F511E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4）建立内部定期用能情况汇报及信息交流制度</w:t>
            </w:r>
          </w:p>
        </w:tc>
        <w:tc>
          <w:tcPr>
            <w:tcW w:w="992" w:type="dxa"/>
            <w:vAlign w:val="center"/>
          </w:tcPr>
          <w:p w:rsidR="00D80472" w:rsidRDefault="00D80472" w:rsidP="00F511E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0.3</w:t>
            </w:r>
          </w:p>
        </w:tc>
        <w:tc>
          <w:tcPr>
            <w:tcW w:w="793"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c>
          <w:tcPr>
            <w:tcW w:w="675"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6062" w:type="dxa"/>
            <w:vAlign w:val="center"/>
          </w:tcPr>
          <w:p w:rsidR="00D80472" w:rsidRDefault="00D80472" w:rsidP="00F511E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5）建立相应能源管理方面的文件记录和文档管理制度</w:t>
            </w:r>
          </w:p>
        </w:tc>
        <w:tc>
          <w:tcPr>
            <w:tcW w:w="992" w:type="dxa"/>
            <w:vAlign w:val="center"/>
          </w:tcPr>
          <w:p w:rsidR="00D80472" w:rsidRDefault="00D80472" w:rsidP="00F511E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0.3</w:t>
            </w:r>
          </w:p>
        </w:tc>
        <w:tc>
          <w:tcPr>
            <w:tcW w:w="793"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c>
          <w:tcPr>
            <w:tcW w:w="675"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6062" w:type="dxa"/>
            <w:vAlign w:val="center"/>
          </w:tcPr>
          <w:p w:rsidR="00D80472" w:rsidRDefault="00D80472" w:rsidP="00F511E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6）适时对政策、规章制度等进行必要的调整和改进</w:t>
            </w:r>
          </w:p>
        </w:tc>
        <w:tc>
          <w:tcPr>
            <w:tcW w:w="992" w:type="dxa"/>
            <w:vAlign w:val="center"/>
          </w:tcPr>
          <w:p w:rsidR="00D80472" w:rsidRDefault="00D80472" w:rsidP="00F511E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0.3</w:t>
            </w:r>
          </w:p>
        </w:tc>
        <w:tc>
          <w:tcPr>
            <w:tcW w:w="793"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c>
          <w:tcPr>
            <w:tcW w:w="675"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6062" w:type="dxa"/>
            <w:vAlign w:val="center"/>
          </w:tcPr>
          <w:p w:rsidR="00D80472" w:rsidRDefault="00D80472" w:rsidP="00F511E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7）</w:t>
            </w:r>
            <w:r>
              <w:rPr>
                <w:rFonts w:ascii="仿宋_GB2312" w:hAnsi="仿宋_GB2312" w:cs="仿宋_GB2312" w:hint="eastAsia"/>
                <w:color w:val="000000"/>
                <w:spacing w:val="-11"/>
                <w:kern w:val="0"/>
                <w:sz w:val="24"/>
                <w:szCs w:val="24"/>
              </w:rPr>
              <w:t>通过公司网站、内部通告等公布企业的能源管理规章制度</w:t>
            </w:r>
          </w:p>
        </w:tc>
        <w:tc>
          <w:tcPr>
            <w:tcW w:w="992" w:type="dxa"/>
            <w:vAlign w:val="center"/>
          </w:tcPr>
          <w:p w:rsidR="00D80472" w:rsidRDefault="00D80472" w:rsidP="00F511E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0.3</w:t>
            </w:r>
          </w:p>
        </w:tc>
        <w:tc>
          <w:tcPr>
            <w:tcW w:w="793"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c>
          <w:tcPr>
            <w:tcW w:w="675"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6062" w:type="dxa"/>
            <w:vAlign w:val="center"/>
          </w:tcPr>
          <w:p w:rsidR="00D80472" w:rsidRDefault="00D80472" w:rsidP="00F511E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8）建立能源管理政策和制度规范执行情况的监督机制</w:t>
            </w:r>
          </w:p>
        </w:tc>
        <w:tc>
          <w:tcPr>
            <w:tcW w:w="992" w:type="dxa"/>
            <w:vAlign w:val="center"/>
          </w:tcPr>
          <w:p w:rsidR="00D80472" w:rsidRDefault="00D80472" w:rsidP="00F511E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0.3</w:t>
            </w:r>
          </w:p>
        </w:tc>
        <w:tc>
          <w:tcPr>
            <w:tcW w:w="793"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c>
          <w:tcPr>
            <w:tcW w:w="675"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6062" w:type="dxa"/>
            <w:vAlign w:val="center"/>
          </w:tcPr>
          <w:p w:rsidR="00D80472" w:rsidRDefault="00D80472" w:rsidP="00F511EE">
            <w:pPr>
              <w:widowControl/>
              <w:spacing w:line="30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9）近三年内未发生重大安全、环境事故</w:t>
            </w:r>
          </w:p>
        </w:tc>
        <w:tc>
          <w:tcPr>
            <w:tcW w:w="992" w:type="dxa"/>
            <w:vAlign w:val="center"/>
          </w:tcPr>
          <w:p w:rsidR="00D80472" w:rsidRDefault="00D80472" w:rsidP="00F511E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0.3</w:t>
            </w:r>
          </w:p>
        </w:tc>
        <w:tc>
          <w:tcPr>
            <w:tcW w:w="793"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c>
          <w:tcPr>
            <w:tcW w:w="675"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r>
    </w:tbl>
    <w:p w:rsidR="00D80472" w:rsidRDefault="00D80472" w:rsidP="00D80472">
      <w:pPr>
        <w:tabs>
          <w:tab w:val="left" w:pos="1571"/>
        </w:tabs>
        <w:spacing w:line="480" w:lineRule="exact"/>
        <w:ind w:firstLineChars="200" w:firstLine="616"/>
        <w:rPr>
          <w:rFonts w:ascii="仿宋_GB2312"/>
          <w:szCs w:val="32"/>
        </w:rPr>
      </w:pPr>
      <w:r>
        <w:rPr>
          <w:rFonts w:ascii="仿宋_GB2312" w:hint="eastAsia"/>
          <w:szCs w:val="32"/>
        </w:rPr>
        <w:t>评分相关说明，包括文字、照片等素材。</w:t>
      </w:r>
    </w:p>
    <w:p w:rsidR="00D80472" w:rsidRDefault="00D80472" w:rsidP="00D80472">
      <w:pPr>
        <w:spacing w:line="480" w:lineRule="exact"/>
        <w:ind w:firstLineChars="200" w:firstLine="618"/>
        <w:outlineLvl w:val="1"/>
        <w:rPr>
          <w:rFonts w:ascii="仿宋_GB2312"/>
          <w:b/>
          <w:szCs w:val="32"/>
        </w:rPr>
      </w:pPr>
      <w:r>
        <w:rPr>
          <w:rFonts w:ascii="仿宋_GB2312" w:hint="eastAsia"/>
          <w:b/>
          <w:szCs w:val="32"/>
        </w:rPr>
        <w:t>3.2 节能目标责任制和节能规划计划</w:t>
      </w:r>
    </w:p>
    <w:tbl>
      <w:tblPr>
        <w:tblW w:w="8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2"/>
        <w:gridCol w:w="4731"/>
        <w:gridCol w:w="863"/>
        <w:gridCol w:w="930"/>
        <w:gridCol w:w="675"/>
      </w:tblGrid>
      <w:tr w:rsidR="00D80472" w:rsidTr="00F511EE">
        <w:trPr>
          <w:trHeight w:val="300"/>
          <w:jc w:val="center"/>
        </w:trPr>
        <w:tc>
          <w:tcPr>
            <w:tcW w:w="6203" w:type="dxa"/>
            <w:gridSpan w:val="2"/>
            <w:vAlign w:val="center"/>
          </w:tcPr>
          <w:p w:rsidR="00D80472" w:rsidRDefault="00D80472" w:rsidP="00F511EE">
            <w:pPr>
              <w:widowControl/>
              <w:spacing w:line="30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评分项</w:t>
            </w:r>
          </w:p>
        </w:tc>
        <w:tc>
          <w:tcPr>
            <w:tcW w:w="863" w:type="dxa"/>
            <w:vAlign w:val="center"/>
          </w:tcPr>
          <w:p w:rsidR="00D80472" w:rsidRDefault="00D80472" w:rsidP="00F511EE">
            <w:pPr>
              <w:widowControl/>
              <w:spacing w:line="30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满分</w:t>
            </w:r>
          </w:p>
        </w:tc>
        <w:tc>
          <w:tcPr>
            <w:tcW w:w="930" w:type="dxa"/>
          </w:tcPr>
          <w:p w:rsidR="00D80472" w:rsidRDefault="00D80472" w:rsidP="00F511EE">
            <w:pPr>
              <w:widowControl/>
              <w:spacing w:line="30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自评分</w:t>
            </w:r>
          </w:p>
        </w:tc>
        <w:tc>
          <w:tcPr>
            <w:tcW w:w="675" w:type="dxa"/>
          </w:tcPr>
          <w:p w:rsidR="00D80472" w:rsidRDefault="00D80472" w:rsidP="00F511EE">
            <w:pPr>
              <w:widowControl/>
              <w:spacing w:line="30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备注</w:t>
            </w:r>
          </w:p>
        </w:tc>
      </w:tr>
      <w:tr w:rsidR="00D80472" w:rsidTr="00F511EE">
        <w:trPr>
          <w:trHeight w:val="300"/>
          <w:jc w:val="center"/>
        </w:trPr>
        <w:tc>
          <w:tcPr>
            <w:tcW w:w="1472" w:type="dxa"/>
            <w:vMerge w:val="restart"/>
            <w:vAlign w:val="center"/>
          </w:tcPr>
          <w:p w:rsidR="00D80472" w:rsidRDefault="00D80472" w:rsidP="00F511EE">
            <w:pPr>
              <w:widowControl/>
              <w:spacing w:line="30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1）节能目标责任制建设</w:t>
            </w:r>
          </w:p>
        </w:tc>
        <w:tc>
          <w:tcPr>
            <w:tcW w:w="4731" w:type="dxa"/>
          </w:tcPr>
          <w:p w:rsidR="00D80472" w:rsidRDefault="00D80472" w:rsidP="00F511EE">
            <w:pPr>
              <w:widowControl/>
              <w:spacing w:line="30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建立年度节能目标责任制，有明确的节能目标</w:t>
            </w:r>
          </w:p>
        </w:tc>
        <w:tc>
          <w:tcPr>
            <w:tcW w:w="863" w:type="dxa"/>
            <w:vAlign w:val="center"/>
          </w:tcPr>
          <w:p w:rsidR="00D80472" w:rsidRDefault="00D80472" w:rsidP="00F511E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0.5</w:t>
            </w:r>
          </w:p>
        </w:tc>
        <w:tc>
          <w:tcPr>
            <w:tcW w:w="930"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c>
          <w:tcPr>
            <w:tcW w:w="675"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1472" w:type="dxa"/>
            <w:vMerge/>
            <w:vAlign w:val="center"/>
          </w:tcPr>
          <w:p w:rsidR="00D80472" w:rsidRDefault="00D80472" w:rsidP="00F511EE">
            <w:pPr>
              <w:widowControl/>
              <w:spacing w:line="300" w:lineRule="exact"/>
              <w:jc w:val="left"/>
              <w:rPr>
                <w:rFonts w:ascii="仿宋_GB2312" w:hAnsi="仿宋_GB2312" w:cs="仿宋_GB2312" w:hint="eastAsia"/>
                <w:color w:val="000000"/>
                <w:kern w:val="0"/>
                <w:sz w:val="24"/>
                <w:szCs w:val="24"/>
              </w:rPr>
            </w:pPr>
          </w:p>
        </w:tc>
        <w:tc>
          <w:tcPr>
            <w:tcW w:w="4731" w:type="dxa"/>
          </w:tcPr>
          <w:p w:rsidR="00D80472" w:rsidRDefault="00D80472" w:rsidP="00F511EE">
            <w:pPr>
              <w:widowControl/>
              <w:spacing w:line="30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将节能目标进行合理分解</w:t>
            </w:r>
          </w:p>
        </w:tc>
        <w:tc>
          <w:tcPr>
            <w:tcW w:w="863" w:type="dxa"/>
            <w:vAlign w:val="center"/>
          </w:tcPr>
          <w:p w:rsidR="00D80472" w:rsidRDefault="00D80472" w:rsidP="00F511E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0.5</w:t>
            </w:r>
          </w:p>
        </w:tc>
        <w:tc>
          <w:tcPr>
            <w:tcW w:w="930"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c>
          <w:tcPr>
            <w:tcW w:w="675"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1472" w:type="dxa"/>
            <w:vMerge/>
            <w:vAlign w:val="center"/>
          </w:tcPr>
          <w:p w:rsidR="00D80472" w:rsidRDefault="00D80472" w:rsidP="00F511EE">
            <w:pPr>
              <w:widowControl/>
              <w:spacing w:line="300" w:lineRule="exact"/>
              <w:jc w:val="left"/>
              <w:rPr>
                <w:rFonts w:ascii="仿宋_GB2312" w:hAnsi="仿宋_GB2312" w:cs="仿宋_GB2312" w:hint="eastAsia"/>
                <w:color w:val="000000"/>
                <w:kern w:val="0"/>
                <w:sz w:val="24"/>
                <w:szCs w:val="24"/>
              </w:rPr>
            </w:pPr>
          </w:p>
        </w:tc>
        <w:tc>
          <w:tcPr>
            <w:tcW w:w="4731" w:type="dxa"/>
          </w:tcPr>
          <w:p w:rsidR="00D80472" w:rsidRDefault="00D80472" w:rsidP="00F511EE">
            <w:pPr>
              <w:widowControl/>
              <w:spacing w:line="30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为完成节能目标，有具体的措施、工作计划和资金保障</w:t>
            </w:r>
          </w:p>
        </w:tc>
        <w:tc>
          <w:tcPr>
            <w:tcW w:w="863" w:type="dxa"/>
            <w:vAlign w:val="center"/>
          </w:tcPr>
          <w:p w:rsidR="00D80472" w:rsidRDefault="00D80472" w:rsidP="00F511E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0.5</w:t>
            </w:r>
          </w:p>
        </w:tc>
        <w:tc>
          <w:tcPr>
            <w:tcW w:w="930"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c>
          <w:tcPr>
            <w:tcW w:w="675"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1472" w:type="dxa"/>
            <w:vMerge/>
            <w:vAlign w:val="center"/>
          </w:tcPr>
          <w:p w:rsidR="00D80472" w:rsidRDefault="00D80472" w:rsidP="00F511EE">
            <w:pPr>
              <w:widowControl/>
              <w:spacing w:line="300" w:lineRule="exact"/>
              <w:jc w:val="left"/>
              <w:rPr>
                <w:rFonts w:ascii="仿宋_GB2312" w:hAnsi="仿宋_GB2312" w:cs="仿宋_GB2312" w:hint="eastAsia"/>
                <w:color w:val="000000"/>
                <w:kern w:val="0"/>
                <w:sz w:val="24"/>
                <w:szCs w:val="24"/>
              </w:rPr>
            </w:pPr>
          </w:p>
        </w:tc>
        <w:tc>
          <w:tcPr>
            <w:tcW w:w="4731" w:type="dxa"/>
          </w:tcPr>
          <w:p w:rsidR="00D80472" w:rsidRDefault="00D80472" w:rsidP="00F511EE">
            <w:pPr>
              <w:widowControl/>
              <w:spacing w:line="30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定期开展节能目标完成情况考评</w:t>
            </w:r>
          </w:p>
        </w:tc>
        <w:tc>
          <w:tcPr>
            <w:tcW w:w="863" w:type="dxa"/>
            <w:vAlign w:val="center"/>
          </w:tcPr>
          <w:p w:rsidR="00D80472" w:rsidRDefault="00D80472" w:rsidP="00F511E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0.5</w:t>
            </w:r>
          </w:p>
        </w:tc>
        <w:tc>
          <w:tcPr>
            <w:tcW w:w="930"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c>
          <w:tcPr>
            <w:tcW w:w="675"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1472" w:type="dxa"/>
            <w:vMerge/>
            <w:vAlign w:val="center"/>
          </w:tcPr>
          <w:p w:rsidR="00D80472" w:rsidRDefault="00D80472" w:rsidP="00F511EE">
            <w:pPr>
              <w:widowControl/>
              <w:spacing w:line="300" w:lineRule="exact"/>
              <w:jc w:val="left"/>
              <w:rPr>
                <w:rFonts w:ascii="仿宋_GB2312" w:hAnsi="仿宋_GB2312" w:cs="仿宋_GB2312" w:hint="eastAsia"/>
                <w:color w:val="000000"/>
                <w:kern w:val="0"/>
                <w:sz w:val="24"/>
                <w:szCs w:val="24"/>
              </w:rPr>
            </w:pPr>
          </w:p>
        </w:tc>
        <w:tc>
          <w:tcPr>
            <w:tcW w:w="4731" w:type="dxa"/>
          </w:tcPr>
          <w:p w:rsidR="00D80472" w:rsidRDefault="00D80472" w:rsidP="00F511EE">
            <w:pPr>
              <w:widowControl/>
              <w:spacing w:line="30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完成政府下达的节能量目标任务和节能考核指标的</w:t>
            </w:r>
          </w:p>
        </w:tc>
        <w:tc>
          <w:tcPr>
            <w:tcW w:w="863" w:type="dxa"/>
            <w:vAlign w:val="center"/>
          </w:tcPr>
          <w:p w:rsidR="00D80472" w:rsidRDefault="00D80472" w:rsidP="00F511E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w:t>
            </w:r>
          </w:p>
        </w:tc>
        <w:tc>
          <w:tcPr>
            <w:tcW w:w="930"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c>
          <w:tcPr>
            <w:tcW w:w="675"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1472" w:type="dxa"/>
            <w:vMerge w:val="restart"/>
            <w:vAlign w:val="center"/>
          </w:tcPr>
          <w:p w:rsidR="00D80472" w:rsidRDefault="00D80472" w:rsidP="00F511EE">
            <w:pPr>
              <w:widowControl/>
              <w:spacing w:line="30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2）节能规划计划</w:t>
            </w:r>
          </w:p>
        </w:tc>
        <w:tc>
          <w:tcPr>
            <w:tcW w:w="4731" w:type="dxa"/>
            <w:vAlign w:val="center"/>
          </w:tcPr>
          <w:p w:rsidR="00D80472" w:rsidRDefault="00D80472" w:rsidP="00F511EE">
            <w:pPr>
              <w:widowControl/>
              <w:spacing w:line="30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根据《企业节能规划编制通则》（GB/T 25329-2010），编制了节能规划</w:t>
            </w:r>
          </w:p>
        </w:tc>
        <w:tc>
          <w:tcPr>
            <w:tcW w:w="863" w:type="dxa"/>
            <w:vAlign w:val="center"/>
          </w:tcPr>
          <w:p w:rsidR="00D80472" w:rsidRDefault="00D80472" w:rsidP="00F511E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0.5</w:t>
            </w:r>
          </w:p>
        </w:tc>
        <w:tc>
          <w:tcPr>
            <w:tcW w:w="930"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c>
          <w:tcPr>
            <w:tcW w:w="675"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1472" w:type="dxa"/>
            <w:vMerge/>
            <w:vAlign w:val="center"/>
          </w:tcPr>
          <w:p w:rsidR="00D80472" w:rsidRDefault="00D80472" w:rsidP="00F511EE">
            <w:pPr>
              <w:widowControl/>
              <w:spacing w:line="300" w:lineRule="exact"/>
              <w:jc w:val="left"/>
              <w:rPr>
                <w:rFonts w:ascii="仿宋_GB2312" w:hAnsi="仿宋_GB2312" w:cs="仿宋_GB2312" w:hint="eastAsia"/>
                <w:color w:val="000000"/>
                <w:kern w:val="0"/>
                <w:sz w:val="24"/>
                <w:szCs w:val="24"/>
              </w:rPr>
            </w:pPr>
          </w:p>
        </w:tc>
        <w:tc>
          <w:tcPr>
            <w:tcW w:w="4731" w:type="dxa"/>
          </w:tcPr>
          <w:p w:rsidR="00D80472" w:rsidRDefault="00D80472" w:rsidP="00F511EE">
            <w:pPr>
              <w:widowControl/>
              <w:spacing w:line="30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节能规划和计划建立在对未来能耗总量及单耗水平趋势进行分析的基础上</w:t>
            </w:r>
          </w:p>
        </w:tc>
        <w:tc>
          <w:tcPr>
            <w:tcW w:w="863" w:type="dxa"/>
            <w:vAlign w:val="center"/>
          </w:tcPr>
          <w:p w:rsidR="00D80472" w:rsidRDefault="00D80472" w:rsidP="00F511EE">
            <w:pPr>
              <w:widowControl/>
              <w:spacing w:line="30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0.5</w:t>
            </w:r>
          </w:p>
        </w:tc>
        <w:tc>
          <w:tcPr>
            <w:tcW w:w="930"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c>
          <w:tcPr>
            <w:tcW w:w="675" w:type="dxa"/>
          </w:tcPr>
          <w:p w:rsidR="00D80472" w:rsidRDefault="00D80472" w:rsidP="00F511EE">
            <w:pPr>
              <w:widowControl/>
              <w:spacing w:line="300" w:lineRule="exact"/>
              <w:jc w:val="center"/>
              <w:rPr>
                <w:rFonts w:ascii="仿宋_GB2312" w:hAnsi="仿宋_GB2312" w:cs="仿宋_GB2312" w:hint="eastAsia"/>
                <w:color w:val="000000"/>
                <w:kern w:val="0"/>
                <w:sz w:val="24"/>
                <w:szCs w:val="24"/>
              </w:rPr>
            </w:pPr>
          </w:p>
        </w:tc>
      </w:tr>
    </w:tbl>
    <w:p w:rsidR="00D80472" w:rsidRDefault="00D80472" w:rsidP="00D80472">
      <w:pPr>
        <w:tabs>
          <w:tab w:val="left" w:pos="1571"/>
        </w:tabs>
        <w:spacing w:line="480" w:lineRule="exact"/>
        <w:ind w:firstLineChars="200" w:firstLine="616"/>
        <w:rPr>
          <w:rFonts w:ascii="仿宋_GB2312"/>
          <w:szCs w:val="32"/>
        </w:rPr>
      </w:pPr>
      <w:r>
        <w:rPr>
          <w:rFonts w:ascii="仿宋_GB2312" w:hint="eastAsia"/>
          <w:szCs w:val="32"/>
        </w:rPr>
        <w:t>评分相关说明，包括文字、照片等素材。</w:t>
      </w:r>
    </w:p>
    <w:p w:rsidR="00D80472" w:rsidRDefault="00D80472" w:rsidP="00D80472">
      <w:pPr>
        <w:spacing w:line="480" w:lineRule="exact"/>
        <w:ind w:firstLineChars="200" w:firstLine="618"/>
        <w:outlineLvl w:val="1"/>
        <w:rPr>
          <w:rFonts w:ascii="仿宋_GB2312"/>
          <w:b/>
          <w:szCs w:val="32"/>
        </w:rPr>
      </w:pPr>
      <w:r>
        <w:rPr>
          <w:rFonts w:ascii="仿宋_GB2312" w:hint="eastAsia"/>
          <w:b/>
          <w:szCs w:val="32"/>
        </w:rPr>
        <w:t>3.3 能源管理人员的配备、管理、绩效考核及培训</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9"/>
        <w:gridCol w:w="885"/>
        <w:gridCol w:w="930"/>
        <w:gridCol w:w="704"/>
      </w:tblGrid>
      <w:tr w:rsidR="00D80472" w:rsidTr="00F511EE">
        <w:trPr>
          <w:trHeight w:val="300"/>
          <w:jc w:val="center"/>
        </w:trPr>
        <w:tc>
          <w:tcPr>
            <w:tcW w:w="6179" w:type="dxa"/>
            <w:vAlign w:val="center"/>
          </w:tcPr>
          <w:p w:rsidR="00D80472" w:rsidRDefault="00D80472" w:rsidP="00F511EE">
            <w:pPr>
              <w:widowControl/>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评分项</w:t>
            </w:r>
          </w:p>
        </w:tc>
        <w:tc>
          <w:tcPr>
            <w:tcW w:w="885" w:type="dxa"/>
            <w:vAlign w:val="center"/>
          </w:tcPr>
          <w:p w:rsidR="00D80472" w:rsidRDefault="00D80472" w:rsidP="00F511EE">
            <w:pPr>
              <w:widowControl/>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满分</w:t>
            </w:r>
          </w:p>
        </w:tc>
        <w:tc>
          <w:tcPr>
            <w:tcW w:w="930" w:type="dxa"/>
          </w:tcPr>
          <w:p w:rsidR="00D80472" w:rsidRDefault="00D80472" w:rsidP="00F511EE">
            <w:pPr>
              <w:widowControl/>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自评分</w:t>
            </w:r>
          </w:p>
        </w:tc>
        <w:tc>
          <w:tcPr>
            <w:tcW w:w="704" w:type="dxa"/>
          </w:tcPr>
          <w:p w:rsidR="00D80472" w:rsidRDefault="00D80472" w:rsidP="00F511EE">
            <w:pPr>
              <w:widowControl/>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备注</w:t>
            </w:r>
          </w:p>
        </w:tc>
      </w:tr>
      <w:tr w:rsidR="00D80472" w:rsidTr="00F511EE">
        <w:trPr>
          <w:trHeight w:val="300"/>
          <w:jc w:val="center"/>
        </w:trPr>
        <w:tc>
          <w:tcPr>
            <w:tcW w:w="6179" w:type="dxa"/>
            <w:vAlign w:val="center"/>
          </w:tcPr>
          <w:p w:rsidR="00D80472" w:rsidRDefault="00D80472" w:rsidP="00F511EE">
            <w:pPr>
              <w:widowControl/>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 建立有效的能源管理领导制度和工作体系</w:t>
            </w:r>
          </w:p>
        </w:tc>
        <w:tc>
          <w:tcPr>
            <w:tcW w:w="885" w:type="dxa"/>
            <w:vAlign w:val="center"/>
          </w:tcPr>
          <w:p w:rsidR="00D80472" w:rsidRDefault="00D80472" w:rsidP="00F511EE">
            <w:pPr>
              <w:widowControl/>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0.5</w:t>
            </w:r>
          </w:p>
        </w:tc>
        <w:tc>
          <w:tcPr>
            <w:tcW w:w="930" w:type="dxa"/>
          </w:tcPr>
          <w:p w:rsidR="00D80472" w:rsidRDefault="00D80472" w:rsidP="00F511EE">
            <w:pPr>
              <w:widowControl/>
              <w:jc w:val="center"/>
              <w:rPr>
                <w:rFonts w:ascii="仿宋_GB2312" w:hAnsi="仿宋_GB2312" w:cs="仿宋_GB2312" w:hint="eastAsia"/>
                <w:color w:val="000000"/>
                <w:kern w:val="0"/>
                <w:sz w:val="24"/>
                <w:szCs w:val="24"/>
              </w:rPr>
            </w:pPr>
          </w:p>
        </w:tc>
        <w:tc>
          <w:tcPr>
            <w:tcW w:w="704" w:type="dxa"/>
          </w:tcPr>
          <w:p w:rsidR="00D80472" w:rsidRDefault="00D80472" w:rsidP="00F511EE">
            <w:pPr>
              <w:widowControl/>
              <w:jc w:val="center"/>
              <w:rPr>
                <w:rFonts w:ascii="仿宋_GB2312" w:hAnsi="仿宋_GB2312" w:cs="仿宋_GB2312" w:hint="eastAsia"/>
                <w:color w:val="000000"/>
                <w:kern w:val="0"/>
                <w:sz w:val="24"/>
                <w:szCs w:val="24"/>
              </w:rPr>
            </w:pPr>
          </w:p>
        </w:tc>
      </w:tr>
      <w:tr w:rsidR="00D80472" w:rsidTr="00F511EE">
        <w:trPr>
          <w:trHeight w:val="300"/>
          <w:jc w:val="center"/>
        </w:trPr>
        <w:tc>
          <w:tcPr>
            <w:tcW w:w="6179" w:type="dxa"/>
            <w:vAlign w:val="center"/>
          </w:tcPr>
          <w:p w:rsidR="00D80472" w:rsidRDefault="00D80472" w:rsidP="00F511EE">
            <w:pPr>
              <w:widowControl/>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 节能工作机制实际有效运行</w:t>
            </w:r>
          </w:p>
        </w:tc>
        <w:tc>
          <w:tcPr>
            <w:tcW w:w="885" w:type="dxa"/>
            <w:vAlign w:val="center"/>
          </w:tcPr>
          <w:p w:rsidR="00D80472" w:rsidRDefault="00D80472" w:rsidP="00F511EE">
            <w:pPr>
              <w:widowControl/>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0.5</w:t>
            </w:r>
          </w:p>
        </w:tc>
        <w:tc>
          <w:tcPr>
            <w:tcW w:w="930" w:type="dxa"/>
          </w:tcPr>
          <w:p w:rsidR="00D80472" w:rsidRDefault="00D80472" w:rsidP="00F511EE">
            <w:pPr>
              <w:widowControl/>
              <w:jc w:val="center"/>
              <w:rPr>
                <w:rFonts w:ascii="仿宋_GB2312" w:hAnsi="仿宋_GB2312" w:cs="仿宋_GB2312" w:hint="eastAsia"/>
                <w:color w:val="000000"/>
                <w:kern w:val="0"/>
                <w:sz w:val="24"/>
                <w:szCs w:val="24"/>
              </w:rPr>
            </w:pPr>
          </w:p>
        </w:tc>
        <w:tc>
          <w:tcPr>
            <w:tcW w:w="704" w:type="dxa"/>
          </w:tcPr>
          <w:p w:rsidR="00D80472" w:rsidRDefault="00D80472" w:rsidP="00F511EE">
            <w:pPr>
              <w:widowControl/>
              <w:jc w:val="center"/>
              <w:rPr>
                <w:rFonts w:ascii="仿宋_GB2312" w:hAnsi="仿宋_GB2312" w:cs="仿宋_GB2312" w:hint="eastAsia"/>
                <w:color w:val="000000"/>
                <w:kern w:val="0"/>
                <w:sz w:val="24"/>
                <w:szCs w:val="24"/>
              </w:rPr>
            </w:pPr>
          </w:p>
        </w:tc>
      </w:tr>
      <w:tr w:rsidR="00D80472" w:rsidTr="00F511EE">
        <w:trPr>
          <w:trHeight w:val="300"/>
          <w:jc w:val="center"/>
        </w:trPr>
        <w:tc>
          <w:tcPr>
            <w:tcW w:w="6179" w:type="dxa"/>
            <w:vAlign w:val="center"/>
          </w:tcPr>
          <w:p w:rsidR="00D80472" w:rsidRDefault="00D80472" w:rsidP="00F511EE">
            <w:pPr>
              <w:widowControl/>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 能源管理机构、岗位（负责人）按要求进行备案</w:t>
            </w:r>
          </w:p>
        </w:tc>
        <w:tc>
          <w:tcPr>
            <w:tcW w:w="885" w:type="dxa"/>
            <w:vAlign w:val="center"/>
          </w:tcPr>
          <w:p w:rsidR="00D80472" w:rsidRDefault="00D80472" w:rsidP="00F511EE">
            <w:pPr>
              <w:widowControl/>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0.5</w:t>
            </w:r>
          </w:p>
        </w:tc>
        <w:tc>
          <w:tcPr>
            <w:tcW w:w="930" w:type="dxa"/>
          </w:tcPr>
          <w:p w:rsidR="00D80472" w:rsidRDefault="00D80472" w:rsidP="00F511EE">
            <w:pPr>
              <w:widowControl/>
              <w:jc w:val="center"/>
              <w:rPr>
                <w:rFonts w:ascii="仿宋_GB2312" w:hAnsi="仿宋_GB2312" w:cs="仿宋_GB2312" w:hint="eastAsia"/>
                <w:color w:val="000000"/>
                <w:kern w:val="0"/>
                <w:sz w:val="24"/>
                <w:szCs w:val="24"/>
              </w:rPr>
            </w:pPr>
          </w:p>
        </w:tc>
        <w:tc>
          <w:tcPr>
            <w:tcW w:w="704" w:type="dxa"/>
          </w:tcPr>
          <w:p w:rsidR="00D80472" w:rsidRDefault="00D80472" w:rsidP="00F511EE">
            <w:pPr>
              <w:widowControl/>
              <w:jc w:val="center"/>
              <w:rPr>
                <w:rFonts w:ascii="仿宋_GB2312" w:hAnsi="仿宋_GB2312" w:cs="仿宋_GB2312" w:hint="eastAsia"/>
                <w:color w:val="000000"/>
                <w:kern w:val="0"/>
                <w:sz w:val="24"/>
                <w:szCs w:val="24"/>
              </w:rPr>
            </w:pPr>
          </w:p>
        </w:tc>
      </w:tr>
      <w:tr w:rsidR="00D80472" w:rsidTr="00F511EE">
        <w:trPr>
          <w:trHeight w:val="300"/>
          <w:jc w:val="center"/>
        </w:trPr>
        <w:tc>
          <w:tcPr>
            <w:tcW w:w="6179" w:type="dxa"/>
            <w:vAlign w:val="center"/>
          </w:tcPr>
          <w:p w:rsidR="00D80472" w:rsidRDefault="00D80472" w:rsidP="00F511EE">
            <w:pPr>
              <w:widowControl/>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 能管人员具备专业技术能力、定期接受专业培训</w:t>
            </w:r>
          </w:p>
        </w:tc>
        <w:tc>
          <w:tcPr>
            <w:tcW w:w="885" w:type="dxa"/>
            <w:vAlign w:val="center"/>
          </w:tcPr>
          <w:p w:rsidR="00D80472" w:rsidRDefault="00D80472" w:rsidP="00F511EE">
            <w:pPr>
              <w:widowControl/>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0.5</w:t>
            </w:r>
          </w:p>
        </w:tc>
        <w:tc>
          <w:tcPr>
            <w:tcW w:w="930" w:type="dxa"/>
          </w:tcPr>
          <w:p w:rsidR="00D80472" w:rsidRDefault="00D80472" w:rsidP="00F511EE">
            <w:pPr>
              <w:widowControl/>
              <w:jc w:val="center"/>
              <w:rPr>
                <w:rFonts w:ascii="仿宋_GB2312" w:hAnsi="仿宋_GB2312" w:cs="仿宋_GB2312" w:hint="eastAsia"/>
                <w:color w:val="000000"/>
                <w:kern w:val="0"/>
                <w:sz w:val="24"/>
                <w:szCs w:val="24"/>
              </w:rPr>
            </w:pPr>
          </w:p>
        </w:tc>
        <w:tc>
          <w:tcPr>
            <w:tcW w:w="704" w:type="dxa"/>
          </w:tcPr>
          <w:p w:rsidR="00D80472" w:rsidRDefault="00D80472" w:rsidP="00F511EE">
            <w:pPr>
              <w:widowControl/>
              <w:jc w:val="center"/>
              <w:rPr>
                <w:rFonts w:ascii="仿宋_GB2312" w:hAnsi="仿宋_GB2312" w:cs="仿宋_GB2312" w:hint="eastAsia"/>
                <w:color w:val="000000"/>
                <w:kern w:val="0"/>
                <w:sz w:val="24"/>
                <w:szCs w:val="24"/>
              </w:rPr>
            </w:pPr>
          </w:p>
        </w:tc>
      </w:tr>
      <w:tr w:rsidR="00D80472" w:rsidTr="00F511EE">
        <w:trPr>
          <w:trHeight w:val="300"/>
          <w:jc w:val="center"/>
        </w:trPr>
        <w:tc>
          <w:tcPr>
            <w:tcW w:w="6179" w:type="dxa"/>
            <w:vAlign w:val="center"/>
          </w:tcPr>
          <w:p w:rsidR="00D80472" w:rsidRDefault="00D80472" w:rsidP="00F511EE">
            <w:pPr>
              <w:widowControl/>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5）建立了节能奖惩制度</w:t>
            </w:r>
          </w:p>
        </w:tc>
        <w:tc>
          <w:tcPr>
            <w:tcW w:w="885" w:type="dxa"/>
            <w:vAlign w:val="center"/>
          </w:tcPr>
          <w:p w:rsidR="00D80472" w:rsidRDefault="00D80472" w:rsidP="00F511EE">
            <w:pPr>
              <w:widowControl/>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w:t>
            </w:r>
          </w:p>
        </w:tc>
        <w:tc>
          <w:tcPr>
            <w:tcW w:w="930" w:type="dxa"/>
          </w:tcPr>
          <w:p w:rsidR="00D80472" w:rsidRDefault="00D80472" w:rsidP="00F511EE">
            <w:pPr>
              <w:widowControl/>
              <w:jc w:val="center"/>
              <w:rPr>
                <w:rFonts w:ascii="仿宋_GB2312" w:hAnsi="仿宋_GB2312" w:cs="仿宋_GB2312" w:hint="eastAsia"/>
                <w:color w:val="000000"/>
                <w:kern w:val="0"/>
                <w:sz w:val="24"/>
                <w:szCs w:val="24"/>
              </w:rPr>
            </w:pPr>
          </w:p>
        </w:tc>
        <w:tc>
          <w:tcPr>
            <w:tcW w:w="704" w:type="dxa"/>
          </w:tcPr>
          <w:p w:rsidR="00D80472" w:rsidRDefault="00D80472" w:rsidP="00F511EE">
            <w:pPr>
              <w:widowControl/>
              <w:jc w:val="center"/>
              <w:rPr>
                <w:rFonts w:ascii="仿宋_GB2312" w:hAnsi="仿宋_GB2312" w:cs="仿宋_GB2312" w:hint="eastAsia"/>
                <w:color w:val="000000"/>
                <w:kern w:val="0"/>
                <w:sz w:val="24"/>
                <w:szCs w:val="24"/>
              </w:rPr>
            </w:pPr>
          </w:p>
        </w:tc>
      </w:tr>
    </w:tbl>
    <w:p w:rsidR="00D80472" w:rsidRDefault="00D80472" w:rsidP="00D80472">
      <w:pPr>
        <w:tabs>
          <w:tab w:val="left" w:pos="1571"/>
        </w:tabs>
        <w:spacing w:line="480" w:lineRule="exact"/>
        <w:ind w:firstLineChars="200" w:firstLine="616"/>
        <w:rPr>
          <w:rFonts w:ascii="仿宋_GB2312" w:hint="eastAsia"/>
          <w:szCs w:val="32"/>
        </w:rPr>
      </w:pPr>
      <w:r>
        <w:rPr>
          <w:rFonts w:ascii="仿宋_GB2312" w:hint="eastAsia"/>
          <w:szCs w:val="32"/>
        </w:rPr>
        <w:t>评分相关说明，包括文字、照片等素材。</w:t>
      </w:r>
    </w:p>
    <w:p w:rsidR="00D80472" w:rsidRDefault="00D80472" w:rsidP="00D80472">
      <w:pPr>
        <w:tabs>
          <w:tab w:val="left" w:pos="1571"/>
        </w:tabs>
        <w:spacing w:line="480" w:lineRule="exact"/>
        <w:ind w:firstLineChars="200" w:firstLine="618"/>
        <w:rPr>
          <w:rFonts w:ascii="仿宋_GB2312" w:hint="eastAsia"/>
          <w:b/>
          <w:bCs/>
          <w:szCs w:val="32"/>
        </w:rPr>
      </w:pPr>
      <w:r>
        <w:rPr>
          <w:rFonts w:ascii="仿宋_GB2312" w:hint="eastAsia"/>
          <w:b/>
          <w:bCs/>
          <w:szCs w:val="32"/>
        </w:rPr>
        <w:t>3.4 收集分析用能情况，挖掘节能潜力</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4"/>
        <w:gridCol w:w="4855"/>
        <w:gridCol w:w="795"/>
        <w:gridCol w:w="928"/>
        <w:gridCol w:w="707"/>
      </w:tblGrid>
      <w:tr w:rsidR="00D80472" w:rsidTr="00F511EE">
        <w:trPr>
          <w:trHeight w:val="300"/>
          <w:tblHeader/>
          <w:jc w:val="center"/>
        </w:trPr>
        <w:tc>
          <w:tcPr>
            <w:tcW w:w="6359" w:type="dxa"/>
            <w:gridSpan w:val="2"/>
            <w:vAlign w:val="center"/>
          </w:tcPr>
          <w:p w:rsidR="00D80472" w:rsidRDefault="00D80472" w:rsidP="00F511EE">
            <w:pPr>
              <w:widowControl/>
              <w:spacing w:line="28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评分项</w:t>
            </w:r>
          </w:p>
        </w:tc>
        <w:tc>
          <w:tcPr>
            <w:tcW w:w="795" w:type="dxa"/>
            <w:vAlign w:val="center"/>
          </w:tcPr>
          <w:p w:rsidR="00D80472" w:rsidRDefault="00D80472" w:rsidP="00F511EE">
            <w:pPr>
              <w:widowControl/>
              <w:spacing w:line="28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满分</w:t>
            </w:r>
          </w:p>
        </w:tc>
        <w:tc>
          <w:tcPr>
            <w:tcW w:w="928" w:type="dxa"/>
          </w:tcPr>
          <w:p w:rsidR="00D80472" w:rsidRDefault="00D80472" w:rsidP="00F511EE">
            <w:pPr>
              <w:widowControl/>
              <w:spacing w:line="28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自评分</w:t>
            </w:r>
          </w:p>
        </w:tc>
        <w:tc>
          <w:tcPr>
            <w:tcW w:w="707" w:type="dxa"/>
          </w:tcPr>
          <w:p w:rsidR="00D80472" w:rsidRDefault="00D80472" w:rsidP="00F511EE">
            <w:pPr>
              <w:widowControl/>
              <w:spacing w:line="28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备注</w:t>
            </w:r>
          </w:p>
        </w:tc>
      </w:tr>
      <w:tr w:rsidR="00D80472" w:rsidTr="00F511EE">
        <w:trPr>
          <w:trHeight w:val="282"/>
          <w:jc w:val="center"/>
        </w:trPr>
        <w:tc>
          <w:tcPr>
            <w:tcW w:w="6359" w:type="dxa"/>
            <w:gridSpan w:val="2"/>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1)建立能源统计台帐</w:t>
            </w:r>
          </w:p>
        </w:tc>
        <w:tc>
          <w:tcPr>
            <w:tcW w:w="795"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0.5</w:t>
            </w:r>
          </w:p>
        </w:tc>
        <w:tc>
          <w:tcPr>
            <w:tcW w:w="928"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07"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282"/>
          <w:jc w:val="center"/>
        </w:trPr>
        <w:tc>
          <w:tcPr>
            <w:tcW w:w="6359" w:type="dxa"/>
            <w:gridSpan w:val="2"/>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2)编制年度能源消费综合平衡表，进行电、热、水平衡等综合分析</w:t>
            </w:r>
          </w:p>
        </w:tc>
        <w:tc>
          <w:tcPr>
            <w:tcW w:w="795"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0.5</w:t>
            </w:r>
          </w:p>
        </w:tc>
        <w:tc>
          <w:tcPr>
            <w:tcW w:w="928"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07"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282"/>
          <w:jc w:val="center"/>
        </w:trPr>
        <w:tc>
          <w:tcPr>
            <w:tcW w:w="6359" w:type="dxa"/>
            <w:gridSpan w:val="2"/>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3)掌握本单位各项设施、运行系统和用能设备的用能参数及能效状况，建立相关系统或设备、设施的能源档案</w:t>
            </w:r>
          </w:p>
        </w:tc>
        <w:tc>
          <w:tcPr>
            <w:tcW w:w="795"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0.5</w:t>
            </w:r>
          </w:p>
        </w:tc>
        <w:tc>
          <w:tcPr>
            <w:tcW w:w="928"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07"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282"/>
          <w:jc w:val="center"/>
        </w:trPr>
        <w:tc>
          <w:tcPr>
            <w:tcW w:w="1504" w:type="dxa"/>
            <w:vMerge w:val="restart"/>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4)能效诊断和节能挖潜</w:t>
            </w:r>
          </w:p>
        </w:tc>
        <w:tc>
          <w:tcPr>
            <w:tcW w:w="4855" w:type="dxa"/>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按照《企业能源审计技术通则》（GB/T 17166- 1997）开展全面能源审计</w:t>
            </w:r>
          </w:p>
        </w:tc>
        <w:tc>
          <w:tcPr>
            <w:tcW w:w="795"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w:t>
            </w:r>
          </w:p>
        </w:tc>
        <w:tc>
          <w:tcPr>
            <w:tcW w:w="928"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07"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282"/>
          <w:jc w:val="center"/>
        </w:trPr>
        <w:tc>
          <w:tcPr>
            <w:tcW w:w="1504" w:type="dxa"/>
            <w:vMerge/>
            <w:vAlign w:val="center"/>
          </w:tcPr>
          <w:p w:rsidR="00D80472" w:rsidRDefault="00D80472" w:rsidP="00F511EE">
            <w:pPr>
              <w:widowControl/>
              <w:spacing w:line="280" w:lineRule="exact"/>
              <w:jc w:val="left"/>
              <w:rPr>
                <w:rFonts w:ascii="仿宋_GB2312" w:hAnsi="仿宋_GB2312" w:cs="仿宋_GB2312" w:hint="eastAsia"/>
                <w:color w:val="000000"/>
                <w:kern w:val="0"/>
                <w:sz w:val="24"/>
                <w:szCs w:val="24"/>
              </w:rPr>
            </w:pPr>
          </w:p>
        </w:tc>
        <w:tc>
          <w:tcPr>
            <w:tcW w:w="4855" w:type="dxa"/>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根据能源审计和能效诊断结果，制定并落实节能整改措施</w:t>
            </w:r>
          </w:p>
        </w:tc>
        <w:tc>
          <w:tcPr>
            <w:tcW w:w="795"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0.5</w:t>
            </w:r>
          </w:p>
        </w:tc>
        <w:tc>
          <w:tcPr>
            <w:tcW w:w="928"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07"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bl>
    <w:p w:rsidR="00D80472" w:rsidRDefault="00D80472" w:rsidP="00D80472">
      <w:pPr>
        <w:tabs>
          <w:tab w:val="left" w:pos="1571"/>
        </w:tabs>
        <w:spacing w:line="480" w:lineRule="exact"/>
        <w:ind w:firstLineChars="200" w:firstLine="616"/>
        <w:rPr>
          <w:rFonts w:ascii="仿宋_GB2312" w:hint="eastAsia"/>
          <w:szCs w:val="32"/>
        </w:rPr>
      </w:pPr>
      <w:r>
        <w:rPr>
          <w:rFonts w:ascii="仿宋_GB2312" w:hint="eastAsia"/>
          <w:szCs w:val="32"/>
        </w:rPr>
        <w:t>评分相关说明，包括文字、照片等素材。</w:t>
      </w:r>
    </w:p>
    <w:p w:rsidR="00D80472" w:rsidRDefault="00D80472" w:rsidP="00D80472">
      <w:pPr>
        <w:tabs>
          <w:tab w:val="left" w:pos="1571"/>
        </w:tabs>
        <w:spacing w:line="480" w:lineRule="exact"/>
        <w:ind w:firstLineChars="200" w:firstLine="618"/>
        <w:rPr>
          <w:rFonts w:ascii="仿宋_GB2312" w:hint="eastAsia"/>
          <w:b/>
          <w:bCs/>
          <w:szCs w:val="32"/>
        </w:rPr>
      </w:pPr>
      <w:r>
        <w:rPr>
          <w:rFonts w:ascii="仿宋_GB2312" w:hint="eastAsia"/>
          <w:b/>
          <w:bCs/>
          <w:szCs w:val="32"/>
        </w:rPr>
        <w:t>3.5 用能计量、监测和报告</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4"/>
        <w:gridCol w:w="4870"/>
        <w:gridCol w:w="720"/>
        <w:gridCol w:w="1005"/>
        <w:gridCol w:w="720"/>
      </w:tblGrid>
      <w:tr w:rsidR="00D80472" w:rsidTr="00F511EE">
        <w:trPr>
          <w:trHeight w:val="300"/>
          <w:jc w:val="center"/>
        </w:trPr>
        <w:tc>
          <w:tcPr>
            <w:tcW w:w="6374" w:type="dxa"/>
            <w:gridSpan w:val="2"/>
            <w:vAlign w:val="center"/>
          </w:tcPr>
          <w:p w:rsidR="00D80472" w:rsidRDefault="00D80472" w:rsidP="00F511EE">
            <w:pPr>
              <w:widowControl/>
              <w:spacing w:line="28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评分项</w:t>
            </w:r>
          </w:p>
        </w:tc>
        <w:tc>
          <w:tcPr>
            <w:tcW w:w="720" w:type="dxa"/>
            <w:vAlign w:val="center"/>
          </w:tcPr>
          <w:p w:rsidR="00D80472" w:rsidRDefault="00D80472" w:rsidP="00F511EE">
            <w:pPr>
              <w:widowControl/>
              <w:spacing w:line="28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满分</w:t>
            </w:r>
          </w:p>
        </w:tc>
        <w:tc>
          <w:tcPr>
            <w:tcW w:w="1005" w:type="dxa"/>
          </w:tcPr>
          <w:p w:rsidR="00D80472" w:rsidRDefault="00D80472" w:rsidP="00F511EE">
            <w:pPr>
              <w:widowControl/>
              <w:spacing w:line="28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自评分</w:t>
            </w:r>
          </w:p>
        </w:tc>
        <w:tc>
          <w:tcPr>
            <w:tcW w:w="720" w:type="dxa"/>
          </w:tcPr>
          <w:p w:rsidR="00D80472" w:rsidRDefault="00D80472" w:rsidP="00F511EE">
            <w:pPr>
              <w:widowControl/>
              <w:spacing w:line="28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备注</w:t>
            </w:r>
          </w:p>
        </w:tc>
      </w:tr>
      <w:tr w:rsidR="00D80472" w:rsidTr="00F511EE">
        <w:trPr>
          <w:trHeight w:val="282"/>
          <w:jc w:val="center"/>
        </w:trPr>
        <w:tc>
          <w:tcPr>
            <w:tcW w:w="6374" w:type="dxa"/>
            <w:gridSpan w:val="2"/>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1)能源计量满足《用能单位能源计量器具配备和管理通则》</w:t>
            </w:r>
            <w:r>
              <w:rPr>
                <w:rFonts w:ascii="仿宋_GB2312" w:hAnsi="仿宋_GB2312" w:cs="仿宋_GB2312" w:hint="eastAsia"/>
                <w:color w:val="000000"/>
                <w:kern w:val="0"/>
                <w:sz w:val="24"/>
                <w:szCs w:val="24"/>
              </w:rPr>
              <w:lastRenderedPageBreak/>
              <w:t>（GB/T 17167-2006）等国家相关标准要求</w:t>
            </w:r>
          </w:p>
        </w:tc>
        <w:tc>
          <w:tcPr>
            <w:tcW w:w="720"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0.5</w:t>
            </w:r>
          </w:p>
        </w:tc>
        <w:tc>
          <w:tcPr>
            <w:tcW w:w="100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20"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282"/>
          <w:jc w:val="center"/>
        </w:trPr>
        <w:tc>
          <w:tcPr>
            <w:tcW w:w="1504" w:type="dxa"/>
            <w:vMerge w:val="restart"/>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2)能源在线监测系统建设</w:t>
            </w:r>
          </w:p>
        </w:tc>
        <w:tc>
          <w:tcPr>
            <w:tcW w:w="4870" w:type="dxa"/>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已经建成或正在开展能耗在线实时监测系统</w:t>
            </w:r>
          </w:p>
        </w:tc>
        <w:tc>
          <w:tcPr>
            <w:tcW w:w="720"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0.5</w:t>
            </w:r>
          </w:p>
        </w:tc>
        <w:tc>
          <w:tcPr>
            <w:tcW w:w="100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20"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282"/>
          <w:jc w:val="center"/>
        </w:trPr>
        <w:tc>
          <w:tcPr>
            <w:tcW w:w="1504" w:type="dxa"/>
            <w:vMerge/>
            <w:vAlign w:val="center"/>
          </w:tcPr>
          <w:p w:rsidR="00D80472" w:rsidRDefault="00D80472" w:rsidP="00F511EE">
            <w:pPr>
              <w:widowControl/>
              <w:spacing w:line="280" w:lineRule="exact"/>
              <w:jc w:val="left"/>
              <w:rPr>
                <w:rFonts w:ascii="仿宋_GB2312" w:hAnsi="仿宋_GB2312" w:cs="仿宋_GB2312" w:hint="eastAsia"/>
                <w:color w:val="000000"/>
                <w:kern w:val="0"/>
                <w:sz w:val="24"/>
                <w:szCs w:val="24"/>
              </w:rPr>
            </w:pPr>
          </w:p>
        </w:tc>
        <w:tc>
          <w:tcPr>
            <w:tcW w:w="4870" w:type="dxa"/>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已经建成或正在建设能源管理中心</w:t>
            </w:r>
          </w:p>
        </w:tc>
        <w:tc>
          <w:tcPr>
            <w:tcW w:w="720"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0.5</w:t>
            </w:r>
          </w:p>
        </w:tc>
        <w:tc>
          <w:tcPr>
            <w:tcW w:w="100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20"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282"/>
          <w:jc w:val="center"/>
        </w:trPr>
        <w:tc>
          <w:tcPr>
            <w:tcW w:w="6374" w:type="dxa"/>
            <w:gridSpan w:val="2"/>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3)动态监测主要产品能效指标</w:t>
            </w:r>
          </w:p>
        </w:tc>
        <w:tc>
          <w:tcPr>
            <w:tcW w:w="720"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w:t>
            </w:r>
          </w:p>
        </w:tc>
        <w:tc>
          <w:tcPr>
            <w:tcW w:w="100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20"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282"/>
          <w:jc w:val="center"/>
        </w:trPr>
        <w:tc>
          <w:tcPr>
            <w:tcW w:w="6374" w:type="dxa"/>
            <w:gridSpan w:val="2"/>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4)定期对相关部门节能工作进行评</w:t>
            </w:r>
          </w:p>
        </w:tc>
        <w:tc>
          <w:tcPr>
            <w:tcW w:w="720"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0.3</w:t>
            </w:r>
          </w:p>
        </w:tc>
        <w:tc>
          <w:tcPr>
            <w:tcW w:w="100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20"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282"/>
          <w:jc w:val="center"/>
        </w:trPr>
        <w:tc>
          <w:tcPr>
            <w:tcW w:w="1504" w:type="dxa"/>
            <w:vMerge w:val="restart"/>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5）能源利用状况报告和节能月报</w:t>
            </w:r>
          </w:p>
        </w:tc>
        <w:tc>
          <w:tcPr>
            <w:tcW w:w="4870" w:type="dxa"/>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按要求报送年度能源利用状况报告</w:t>
            </w:r>
          </w:p>
        </w:tc>
        <w:tc>
          <w:tcPr>
            <w:tcW w:w="720"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w:t>
            </w:r>
          </w:p>
        </w:tc>
        <w:tc>
          <w:tcPr>
            <w:tcW w:w="100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20"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282"/>
          <w:jc w:val="center"/>
        </w:trPr>
        <w:tc>
          <w:tcPr>
            <w:tcW w:w="1504" w:type="dxa"/>
            <w:vMerge/>
            <w:vAlign w:val="center"/>
          </w:tcPr>
          <w:p w:rsidR="00D80472" w:rsidRDefault="00D80472" w:rsidP="00F511EE">
            <w:pPr>
              <w:widowControl/>
              <w:spacing w:line="280" w:lineRule="exact"/>
              <w:jc w:val="left"/>
              <w:rPr>
                <w:rFonts w:ascii="仿宋_GB2312" w:hAnsi="仿宋_GB2312" w:cs="仿宋_GB2312" w:hint="eastAsia"/>
                <w:color w:val="000000"/>
                <w:kern w:val="0"/>
                <w:sz w:val="24"/>
                <w:szCs w:val="24"/>
              </w:rPr>
            </w:pPr>
          </w:p>
        </w:tc>
        <w:tc>
          <w:tcPr>
            <w:tcW w:w="4870" w:type="dxa"/>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按要求报送节能月报</w:t>
            </w:r>
          </w:p>
        </w:tc>
        <w:tc>
          <w:tcPr>
            <w:tcW w:w="720"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w:t>
            </w:r>
          </w:p>
        </w:tc>
        <w:tc>
          <w:tcPr>
            <w:tcW w:w="100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20"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282"/>
          <w:jc w:val="center"/>
        </w:trPr>
        <w:tc>
          <w:tcPr>
            <w:tcW w:w="6374" w:type="dxa"/>
            <w:gridSpan w:val="2"/>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6)对年度能源管理工作进行总结和下年度节能工作进行部署</w:t>
            </w:r>
          </w:p>
        </w:tc>
        <w:tc>
          <w:tcPr>
            <w:tcW w:w="720"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0.2</w:t>
            </w:r>
          </w:p>
        </w:tc>
        <w:tc>
          <w:tcPr>
            <w:tcW w:w="100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20"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bl>
    <w:p w:rsidR="00D80472" w:rsidRDefault="00D80472" w:rsidP="00D80472">
      <w:pPr>
        <w:tabs>
          <w:tab w:val="left" w:pos="1571"/>
        </w:tabs>
        <w:spacing w:line="480" w:lineRule="exact"/>
        <w:ind w:firstLineChars="200" w:firstLine="616"/>
        <w:rPr>
          <w:rFonts w:ascii="仿宋_GB2312" w:hint="eastAsia"/>
          <w:szCs w:val="32"/>
        </w:rPr>
      </w:pPr>
      <w:r>
        <w:rPr>
          <w:rFonts w:ascii="仿宋_GB2312" w:hint="eastAsia"/>
          <w:szCs w:val="32"/>
        </w:rPr>
        <w:t>评分相关说明，包括文字、照片等素材。</w:t>
      </w:r>
    </w:p>
    <w:p w:rsidR="00D80472" w:rsidRDefault="00D80472" w:rsidP="00D80472">
      <w:pPr>
        <w:tabs>
          <w:tab w:val="left" w:pos="1571"/>
        </w:tabs>
        <w:spacing w:line="480" w:lineRule="exact"/>
        <w:ind w:firstLineChars="200" w:firstLine="618"/>
        <w:rPr>
          <w:rFonts w:ascii="仿宋_GB2312" w:hint="eastAsia"/>
          <w:b/>
          <w:bCs/>
          <w:szCs w:val="32"/>
        </w:rPr>
      </w:pPr>
      <w:r>
        <w:rPr>
          <w:rFonts w:ascii="仿宋_GB2312" w:hint="eastAsia"/>
          <w:b/>
          <w:bCs/>
          <w:szCs w:val="32"/>
        </w:rPr>
        <w:t>3.6 采用先进节能技术措施和高效设备</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9"/>
        <w:gridCol w:w="4755"/>
        <w:gridCol w:w="916"/>
        <w:gridCol w:w="989"/>
        <w:gridCol w:w="751"/>
      </w:tblGrid>
      <w:tr w:rsidR="00D80472" w:rsidTr="00F511EE">
        <w:trPr>
          <w:trHeight w:val="300"/>
          <w:jc w:val="center"/>
        </w:trPr>
        <w:tc>
          <w:tcPr>
            <w:tcW w:w="6374" w:type="dxa"/>
            <w:gridSpan w:val="2"/>
            <w:vAlign w:val="center"/>
          </w:tcPr>
          <w:p w:rsidR="00D80472" w:rsidRDefault="00D80472" w:rsidP="00F511EE">
            <w:pPr>
              <w:widowControl/>
              <w:spacing w:line="28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评分项</w:t>
            </w:r>
          </w:p>
        </w:tc>
        <w:tc>
          <w:tcPr>
            <w:tcW w:w="916" w:type="dxa"/>
            <w:vAlign w:val="center"/>
          </w:tcPr>
          <w:p w:rsidR="00D80472" w:rsidRDefault="00D80472" w:rsidP="00F511EE">
            <w:pPr>
              <w:widowControl/>
              <w:spacing w:line="28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满分</w:t>
            </w:r>
          </w:p>
        </w:tc>
        <w:tc>
          <w:tcPr>
            <w:tcW w:w="989" w:type="dxa"/>
          </w:tcPr>
          <w:p w:rsidR="00D80472" w:rsidRDefault="00D80472" w:rsidP="00F511EE">
            <w:pPr>
              <w:widowControl/>
              <w:spacing w:line="28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自评分</w:t>
            </w:r>
          </w:p>
        </w:tc>
        <w:tc>
          <w:tcPr>
            <w:tcW w:w="751" w:type="dxa"/>
          </w:tcPr>
          <w:p w:rsidR="00D80472" w:rsidRDefault="00D80472" w:rsidP="00F511EE">
            <w:pPr>
              <w:widowControl/>
              <w:spacing w:line="28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备注</w:t>
            </w:r>
          </w:p>
        </w:tc>
      </w:tr>
      <w:tr w:rsidR="00D80472" w:rsidTr="00F511EE">
        <w:trPr>
          <w:trHeight w:val="282"/>
          <w:jc w:val="center"/>
        </w:trPr>
        <w:tc>
          <w:tcPr>
            <w:tcW w:w="6374" w:type="dxa"/>
            <w:gridSpan w:val="2"/>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1）设计开发新产品、新服务、设备采购及更换时充分考虑节能与提高能效</w:t>
            </w:r>
          </w:p>
        </w:tc>
        <w:tc>
          <w:tcPr>
            <w:tcW w:w="916"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0.2</w:t>
            </w:r>
          </w:p>
        </w:tc>
        <w:tc>
          <w:tcPr>
            <w:tcW w:w="989"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51"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282"/>
          <w:jc w:val="center"/>
        </w:trPr>
        <w:tc>
          <w:tcPr>
            <w:tcW w:w="6374" w:type="dxa"/>
            <w:gridSpan w:val="2"/>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2）至少实施过2项节能技术</w:t>
            </w:r>
          </w:p>
        </w:tc>
        <w:tc>
          <w:tcPr>
            <w:tcW w:w="916"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0.2</w:t>
            </w:r>
          </w:p>
        </w:tc>
        <w:tc>
          <w:tcPr>
            <w:tcW w:w="989"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51"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282"/>
          <w:jc w:val="center"/>
        </w:trPr>
        <w:tc>
          <w:tcPr>
            <w:tcW w:w="6374" w:type="dxa"/>
            <w:gridSpan w:val="2"/>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3）实现对主要生产过程、主要用能设备的用能进行优化</w:t>
            </w:r>
          </w:p>
        </w:tc>
        <w:tc>
          <w:tcPr>
            <w:tcW w:w="916"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0.2</w:t>
            </w:r>
          </w:p>
        </w:tc>
        <w:tc>
          <w:tcPr>
            <w:tcW w:w="989"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51"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282"/>
          <w:jc w:val="center"/>
        </w:trPr>
        <w:tc>
          <w:tcPr>
            <w:tcW w:w="6374" w:type="dxa"/>
            <w:gridSpan w:val="2"/>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4）实施用电负荷控制与优化，减少最高负荷</w:t>
            </w:r>
          </w:p>
        </w:tc>
        <w:tc>
          <w:tcPr>
            <w:tcW w:w="916"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0.2</w:t>
            </w:r>
          </w:p>
        </w:tc>
        <w:tc>
          <w:tcPr>
            <w:tcW w:w="989"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51"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282"/>
          <w:jc w:val="center"/>
        </w:trPr>
        <w:tc>
          <w:tcPr>
            <w:tcW w:w="6374" w:type="dxa"/>
            <w:gridSpan w:val="2"/>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5）主要产品单耗（工序）比上年度下降</w:t>
            </w:r>
          </w:p>
        </w:tc>
        <w:tc>
          <w:tcPr>
            <w:tcW w:w="916"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0.2</w:t>
            </w:r>
          </w:p>
        </w:tc>
        <w:tc>
          <w:tcPr>
            <w:tcW w:w="989"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51"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282"/>
          <w:jc w:val="center"/>
        </w:trPr>
        <w:tc>
          <w:tcPr>
            <w:tcW w:w="1619" w:type="dxa"/>
            <w:vAlign w:val="center"/>
          </w:tcPr>
          <w:p w:rsidR="00D80472" w:rsidRDefault="00D80472" w:rsidP="00F511EE">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6)综合节能率</w:t>
            </w:r>
          </w:p>
        </w:tc>
        <w:tc>
          <w:tcPr>
            <w:tcW w:w="4755" w:type="dxa"/>
            <w:vAlign w:val="center"/>
          </w:tcPr>
          <w:p w:rsidR="00D80472" w:rsidRDefault="00D80472" w:rsidP="00F511EE">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综合节能率</w:t>
            </w:r>
          </w:p>
        </w:tc>
        <w:tc>
          <w:tcPr>
            <w:tcW w:w="916"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w:t>
            </w:r>
          </w:p>
        </w:tc>
        <w:tc>
          <w:tcPr>
            <w:tcW w:w="989"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51"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282"/>
          <w:jc w:val="center"/>
        </w:trPr>
        <w:tc>
          <w:tcPr>
            <w:tcW w:w="1619" w:type="dxa"/>
            <w:vAlign w:val="center"/>
          </w:tcPr>
          <w:p w:rsidR="00D80472" w:rsidRDefault="00D80472" w:rsidP="00F511EE">
            <w:pPr>
              <w:widowControl/>
              <w:spacing w:line="280" w:lineRule="exact"/>
              <w:rPr>
                <w:rFonts w:ascii="仿宋_GB2312" w:hAnsi="仿宋_GB2312" w:cs="仿宋_GB2312" w:hint="eastAsia"/>
                <w:color w:val="000000"/>
                <w:spacing w:val="-23"/>
                <w:kern w:val="0"/>
                <w:sz w:val="24"/>
                <w:szCs w:val="24"/>
              </w:rPr>
            </w:pPr>
            <w:r>
              <w:rPr>
                <w:rFonts w:ascii="仿宋_GB2312" w:hAnsi="仿宋_GB2312" w:cs="仿宋_GB2312" w:hint="eastAsia"/>
                <w:color w:val="000000"/>
                <w:spacing w:val="-23"/>
                <w:kern w:val="0"/>
                <w:sz w:val="24"/>
                <w:szCs w:val="24"/>
              </w:rPr>
              <w:t>7）节能投资力度</w:t>
            </w:r>
          </w:p>
        </w:tc>
        <w:tc>
          <w:tcPr>
            <w:tcW w:w="4755" w:type="dxa"/>
            <w:vAlign w:val="center"/>
          </w:tcPr>
          <w:p w:rsidR="00D80472" w:rsidRDefault="00D80472" w:rsidP="00F511EE">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节能投资比例</w:t>
            </w:r>
          </w:p>
        </w:tc>
        <w:tc>
          <w:tcPr>
            <w:tcW w:w="916"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w:t>
            </w:r>
          </w:p>
        </w:tc>
        <w:tc>
          <w:tcPr>
            <w:tcW w:w="989"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51"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1619" w:type="dxa"/>
            <w:vAlign w:val="center"/>
          </w:tcPr>
          <w:p w:rsidR="00D80472" w:rsidRDefault="00D80472" w:rsidP="00F511EE">
            <w:pPr>
              <w:spacing w:line="280" w:lineRule="exact"/>
              <w:jc w:val="left"/>
              <w:rPr>
                <w:rFonts w:ascii="仿宋_GB2312" w:hAnsi="仿宋_GB2312" w:cs="仿宋_GB2312" w:hint="eastAsia"/>
                <w:color w:val="000000"/>
                <w:spacing w:val="-23"/>
                <w:kern w:val="0"/>
                <w:sz w:val="24"/>
                <w:szCs w:val="24"/>
              </w:rPr>
            </w:pPr>
            <w:r>
              <w:rPr>
                <w:rFonts w:ascii="仿宋_GB2312" w:hAnsi="仿宋_GB2312" w:cs="仿宋_GB2312" w:hint="eastAsia"/>
                <w:color w:val="000000"/>
                <w:spacing w:val="-23"/>
                <w:kern w:val="0"/>
                <w:sz w:val="24"/>
                <w:szCs w:val="24"/>
              </w:rPr>
              <w:t>8）节能投资效益</w:t>
            </w:r>
          </w:p>
        </w:tc>
        <w:tc>
          <w:tcPr>
            <w:tcW w:w="4755" w:type="dxa"/>
            <w:vAlign w:val="center"/>
          </w:tcPr>
          <w:p w:rsidR="00D80472" w:rsidRDefault="00D80472" w:rsidP="00F511EE">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节能投资回报率</w:t>
            </w:r>
          </w:p>
        </w:tc>
        <w:tc>
          <w:tcPr>
            <w:tcW w:w="916"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w:t>
            </w:r>
          </w:p>
        </w:tc>
        <w:tc>
          <w:tcPr>
            <w:tcW w:w="989"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51"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bl>
    <w:p w:rsidR="00D80472" w:rsidRDefault="00D80472" w:rsidP="00D80472">
      <w:pPr>
        <w:tabs>
          <w:tab w:val="left" w:pos="1571"/>
        </w:tabs>
        <w:spacing w:line="480" w:lineRule="exact"/>
        <w:ind w:firstLineChars="200" w:firstLine="616"/>
        <w:rPr>
          <w:rFonts w:ascii="仿宋_GB2312" w:hint="eastAsia"/>
          <w:szCs w:val="32"/>
        </w:rPr>
      </w:pPr>
      <w:r>
        <w:rPr>
          <w:rFonts w:ascii="仿宋_GB2312" w:hint="eastAsia"/>
          <w:szCs w:val="32"/>
        </w:rPr>
        <w:t>评分相关说明，包括文字、照片等素材。</w:t>
      </w:r>
    </w:p>
    <w:p w:rsidR="00D80472" w:rsidRDefault="00D80472" w:rsidP="00D80472">
      <w:pPr>
        <w:tabs>
          <w:tab w:val="left" w:pos="1571"/>
        </w:tabs>
        <w:spacing w:line="480" w:lineRule="exact"/>
        <w:ind w:firstLineChars="200" w:firstLine="618"/>
        <w:rPr>
          <w:rFonts w:ascii="仿宋_GB2312" w:hint="eastAsia"/>
          <w:b/>
          <w:bCs/>
          <w:szCs w:val="32"/>
        </w:rPr>
      </w:pPr>
      <w:r>
        <w:rPr>
          <w:rFonts w:ascii="仿宋_GB2312" w:hint="eastAsia"/>
          <w:b/>
          <w:bCs/>
          <w:szCs w:val="32"/>
        </w:rPr>
        <w:t>3.7 执行节能法律法规及有关规定</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4"/>
        <w:gridCol w:w="760"/>
        <w:gridCol w:w="945"/>
        <w:gridCol w:w="736"/>
      </w:tblGrid>
      <w:tr w:rsidR="00D80472" w:rsidTr="00F511EE">
        <w:trPr>
          <w:trHeight w:val="300"/>
          <w:jc w:val="center"/>
        </w:trPr>
        <w:tc>
          <w:tcPr>
            <w:tcW w:w="6664" w:type="dxa"/>
            <w:vAlign w:val="center"/>
          </w:tcPr>
          <w:p w:rsidR="00D80472" w:rsidRDefault="00D80472" w:rsidP="00F511EE">
            <w:pPr>
              <w:widowControl/>
              <w:spacing w:line="28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评分项</w:t>
            </w:r>
          </w:p>
        </w:tc>
        <w:tc>
          <w:tcPr>
            <w:tcW w:w="760" w:type="dxa"/>
            <w:vAlign w:val="center"/>
          </w:tcPr>
          <w:p w:rsidR="00D80472" w:rsidRDefault="00D80472" w:rsidP="00F511EE">
            <w:pPr>
              <w:widowControl/>
              <w:spacing w:line="28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满分</w:t>
            </w:r>
          </w:p>
        </w:tc>
        <w:tc>
          <w:tcPr>
            <w:tcW w:w="945" w:type="dxa"/>
          </w:tcPr>
          <w:p w:rsidR="00D80472" w:rsidRDefault="00D80472" w:rsidP="00F511EE">
            <w:pPr>
              <w:widowControl/>
              <w:spacing w:line="28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自评分</w:t>
            </w:r>
          </w:p>
        </w:tc>
        <w:tc>
          <w:tcPr>
            <w:tcW w:w="736" w:type="dxa"/>
          </w:tcPr>
          <w:p w:rsidR="00D80472" w:rsidRDefault="00D80472" w:rsidP="00F511EE">
            <w:pPr>
              <w:widowControl/>
              <w:spacing w:line="28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备注</w:t>
            </w:r>
          </w:p>
        </w:tc>
      </w:tr>
      <w:tr w:rsidR="00D80472" w:rsidTr="00F511EE">
        <w:trPr>
          <w:trHeight w:val="300"/>
          <w:jc w:val="center"/>
        </w:trPr>
        <w:tc>
          <w:tcPr>
            <w:tcW w:w="6664" w:type="dxa"/>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1）执行节能评估审查制度</w:t>
            </w:r>
          </w:p>
        </w:tc>
        <w:tc>
          <w:tcPr>
            <w:tcW w:w="760"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0.5</w:t>
            </w:r>
          </w:p>
        </w:tc>
        <w:tc>
          <w:tcPr>
            <w:tcW w:w="94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36"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6664" w:type="dxa"/>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 落实落后产能、设备（产品）的淘汰制度，未使用落后的用能设备和产品</w:t>
            </w:r>
          </w:p>
        </w:tc>
        <w:tc>
          <w:tcPr>
            <w:tcW w:w="760"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0.5</w:t>
            </w:r>
          </w:p>
        </w:tc>
        <w:tc>
          <w:tcPr>
            <w:tcW w:w="94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36"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6664" w:type="dxa"/>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3）执行节能法律法规其他有关规定，并完成国家或本市要求的节能减</w:t>
            </w:r>
            <w:proofErr w:type="gramStart"/>
            <w:r>
              <w:rPr>
                <w:rFonts w:ascii="仿宋_GB2312" w:hAnsi="仿宋_GB2312" w:cs="仿宋_GB2312" w:hint="eastAsia"/>
                <w:color w:val="000000"/>
                <w:kern w:val="0"/>
                <w:sz w:val="24"/>
                <w:szCs w:val="24"/>
              </w:rPr>
              <w:t>排方面</w:t>
            </w:r>
            <w:proofErr w:type="gramEnd"/>
            <w:r>
              <w:rPr>
                <w:rFonts w:ascii="仿宋_GB2312" w:hAnsi="仿宋_GB2312" w:cs="仿宋_GB2312" w:hint="eastAsia"/>
                <w:color w:val="000000"/>
                <w:kern w:val="0"/>
                <w:sz w:val="24"/>
                <w:szCs w:val="24"/>
              </w:rPr>
              <w:t>的其他各专项工作</w:t>
            </w:r>
          </w:p>
        </w:tc>
        <w:tc>
          <w:tcPr>
            <w:tcW w:w="760"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w:t>
            </w:r>
          </w:p>
        </w:tc>
        <w:tc>
          <w:tcPr>
            <w:tcW w:w="94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36"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bl>
    <w:p w:rsidR="00D80472" w:rsidRDefault="00D80472" w:rsidP="00D80472">
      <w:pPr>
        <w:tabs>
          <w:tab w:val="left" w:pos="1571"/>
        </w:tabs>
        <w:spacing w:line="480" w:lineRule="exact"/>
        <w:ind w:firstLineChars="200" w:firstLine="616"/>
        <w:rPr>
          <w:rFonts w:ascii="仿宋_GB2312" w:hint="eastAsia"/>
          <w:szCs w:val="32"/>
        </w:rPr>
      </w:pPr>
      <w:r>
        <w:rPr>
          <w:rFonts w:ascii="仿宋_GB2312" w:hint="eastAsia"/>
          <w:szCs w:val="32"/>
        </w:rPr>
        <w:t>评分相关说明，包括文字、照片等素材。</w:t>
      </w:r>
    </w:p>
    <w:p w:rsidR="00D80472" w:rsidRDefault="00D80472" w:rsidP="00D80472">
      <w:pPr>
        <w:tabs>
          <w:tab w:val="left" w:pos="1571"/>
        </w:tabs>
        <w:spacing w:line="480" w:lineRule="exact"/>
        <w:ind w:firstLineChars="200" w:firstLine="618"/>
        <w:rPr>
          <w:rFonts w:ascii="仿宋_GB2312" w:hint="eastAsia"/>
          <w:b/>
          <w:bCs/>
          <w:szCs w:val="32"/>
        </w:rPr>
      </w:pPr>
      <w:r>
        <w:rPr>
          <w:rFonts w:ascii="仿宋_GB2312" w:hint="eastAsia"/>
          <w:b/>
          <w:bCs/>
          <w:szCs w:val="32"/>
        </w:rPr>
        <w:t>3.8 对</w:t>
      </w:r>
      <w:proofErr w:type="gramStart"/>
      <w:r>
        <w:rPr>
          <w:rFonts w:ascii="仿宋_GB2312" w:hint="eastAsia"/>
          <w:b/>
          <w:bCs/>
          <w:szCs w:val="32"/>
        </w:rPr>
        <w:t>标管理</w:t>
      </w:r>
      <w:proofErr w:type="gramEnd"/>
      <w:r>
        <w:rPr>
          <w:rFonts w:ascii="仿宋_GB2312" w:hint="eastAsia"/>
          <w:b/>
          <w:bCs/>
          <w:szCs w:val="32"/>
        </w:rPr>
        <w:t>活动</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4"/>
        <w:gridCol w:w="5005"/>
        <w:gridCol w:w="781"/>
        <w:gridCol w:w="929"/>
        <w:gridCol w:w="795"/>
      </w:tblGrid>
      <w:tr w:rsidR="00D80472" w:rsidTr="00F511EE">
        <w:trPr>
          <w:trHeight w:val="300"/>
          <w:jc w:val="center"/>
        </w:trPr>
        <w:tc>
          <w:tcPr>
            <w:tcW w:w="6509" w:type="dxa"/>
            <w:gridSpan w:val="2"/>
            <w:vAlign w:val="center"/>
          </w:tcPr>
          <w:p w:rsidR="00D80472" w:rsidRDefault="00D80472" w:rsidP="00F511EE">
            <w:pPr>
              <w:widowControl/>
              <w:spacing w:line="28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评分项</w:t>
            </w:r>
          </w:p>
        </w:tc>
        <w:tc>
          <w:tcPr>
            <w:tcW w:w="781" w:type="dxa"/>
            <w:vAlign w:val="center"/>
          </w:tcPr>
          <w:p w:rsidR="00D80472" w:rsidRDefault="00D80472" w:rsidP="00F511EE">
            <w:pPr>
              <w:widowControl/>
              <w:spacing w:line="28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满分</w:t>
            </w:r>
          </w:p>
        </w:tc>
        <w:tc>
          <w:tcPr>
            <w:tcW w:w="929" w:type="dxa"/>
          </w:tcPr>
          <w:p w:rsidR="00D80472" w:rsidRDefault="00D80472" w:rsidP="00F511EE">
            <w:pPr>
              <w:widowControl/>
              <w:spacing w:line="28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自评分</w:t>
            </w:r>
          </w:p>
        </w:tc>
        <w:tc>
          <w:tcPr>
            <w:tcW w:w="795" w:type="dxa"/>
          </w:tcPr>
          <w:p w:rsidR="00D80472" w:rsidRDefault="00D80472" w:rsidP="00F511EE">
            <w:pPr>
              <w:widowControl/>
              <w:spacing w:line="280" w:lineRule="exact"/>
              <w:jc w:val="center"/>
              <w:rPr>
                <w:rFonts w:ascii="仿宋_GB2312" w:hAnsi="仿宋_GB2312" w:cs="仿宋_GB2312" w:hint="eastAsia"/>
                <w:b/>
                <w:color w:val="000000"/>
                <w:kern w:val="0"/>
                <w:sz w:val="24"/>
                <w:szCs w:val="24"/>
              </w:rPr>
            </w:pPr>
            <w:r>
              <w:rPr>
                <w:rFonts w:ascii="仿宋_GB2312" w:hAnsi="仿宋_GB2312" w:cs="仿宋_GB2312" w:hint="eastAsia"/>
                <w:b/>
                <w:color w:val="000000"/>
                <w:kern w:val="0"/>
                <w:sz w:val="24"/>
                <w:szCs w:val="24"/>
              </w:rPr>
              <w:t>备注</w:t>
            </w:r>
          </w:p>
        </w:tc>
      </w:tr>
      <w:tr w:rsidR="00D80472" w:rsidTr="00F511EE">
        <w:trPr>
          <w:trHeight w:val="300"/>
          <w:jc w:val="center"/>
        </w:trPr>
        <w:tc>
          <w:tcPr>
            <w:tcW w:w="1504" w:type="dxa"/>
            <w:vMerge w:val="restart"/>
            <w:vAlign w:val="center"/>
          </w:tcPr>
          <w:p w:rsidR="00D80472" w:rsidRDefault="00D80472" w:rsidP="00F511EE">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1）现状分析 </w:t>
            </w:r>
          </w:p>
        </w:tc>
        <w:tc>
          <w:tcPr>
            <w:tcW w:w="5005" w:type="dxa"/>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成立对</w:t>
            </w:r>
            <w:proofErr w:type="gramStart"/>
            <w:r>
              <w:rPr>
                <w:rFonts w:ascii="仿宋_GB2312" w:hAnsi="仿宋_GB2312" w:cs="仿宋_GB2312" w:hint="eastAsia"/>
                <w:color w:val="000000"/>
                <w:kern w:val="0"/>
                <w:sz w:val="24"/>
                <w:szCs w:val="24"/>
              </w:rPr>
              <w:t>标活动</w:t>
            </w:r>
            <w:proofErr w:type="gramEnd"/>
            <w:r>
              <w:rPr>
                <w:rFonts w:ascii="仿宋_GB2312" w:hAnsi="仿宋_GB2312" w:cs="仿宋_GB2312" w:hint="eastAsia"/>
                <w:color w:val="000000"/>
                <w:kern w:val="0"/>
                <w:sz w:val="24"/>
                <w:szCs w:val="24"/>
              </w:rPr>
              <w:t>小组，明确职责及分工</w:t>
            </w:r>
          </w:p>
        </w:tc>
        <w:tc>
          <w:tcPr>
            <w:tcW w:w="781"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0.2</w:t>
            </w:r>
          </w:p>
        </w:tc>
        <w:tc>
          <w:tcPr>
            <w:tcW w:w="929"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9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1504" w:type="dxa"/>
            <w:vMerge/>
            <w:vAlign w:val="center"/>
          </w:tcPr>
          <w:p w:rsidR="00D80472" w:rsidRDefault="00D80472" w:rsidP="00F511EE">
            <w:pPr>
              <w:widowControl/>
              <w:spacing w:line="280" w:lineRule="exact"/>
              <w:jc w:val="left"/>
              <w:rPr>
                <w:rFonts w:ascii="仿宋_GB2312" w:hAnsi="仿宋_GB2312" w:cs="仿宋_GB2312" w:hint="eastAsia"/>
                <w:color w:val="000000"/>
                <w:kern w:val="0"/>
                <w:sz w:val="24"/>
                <w:szCs w:val="24"/>
              </w:rPr>
            </w:pPr>
          </w:p>
        </w:tc>
        <w:tc>
          <w:tcPr>
            <w:tcW w:w="5005" w:type="dxa"/>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对</w:t>
            </w:r>
            <w:proofErr w:type="gramStart"/>
            <w:r>
              <w:rPr>
                <w:rFonts w:ascii="仿宋_GB2312" w:hAnsi="仿宋_GB2312" w:cs="仿宋_GB2312" w:hint="eastAsia"/>
                <w:color w:val="000000"/>
                <w:kern w:val="0"/>
                <w:sz w:val="24"/>
                <w:szCs w:val="24"/>
              </w:rPr>
              <w:t>标指标</w:t>
            </w:r>
            <w:proofErr w:type="gramEnd"/>
            <w:r>
              <w:rPr>
                <w:rFonts w:ascii="仿宋_GB2312" w:hAnsi="仿宋_GB2312" w:cs="仿宋_GB2312" w:hint="eastAsia"/>
                <w:color w:val="000000"/>
                <w:kern w:val="0"/>
                <w:sz w:val="24"/>
                <w:szCs w:val="24"/>
              </w:rPr>
              <w:t>进行分析，编写对</w:t>
            </w:r>
            <w:proofErr w:type="gramStart"/>
            <w:r>
              <w:rPr>
                <w:rFonts w:ascii="仿宋_GB2312" w:hAnsi="仿宋_GB2312" w:cs="仿宋_GB2312" w:hint="eastAsia"/>
                <w:color w:val="000000"/>
                <w:kern w:val="0"/>
                <w:sz w:val="24"/>
                <w:szCs w:val="24"/>
              </w:rPr>
              <w:t>标指标</w:t>
            </w:r>
            <w:proofErr w:type="gramEnd"/>
            <w:r>
              <w:rPr>
                <w:rFonts w:ascii="仿宋_GB2312" w:hAnsi="仿宋_GB2312" w:cs="仿宋_GB2312" w:hint="eastAsia"/>
                <w:color w:val="000000"/>
                <w:kern w:val="0"/>
                <w:sz w:val="24"/>
                <w:szCs w:val="24"/>
              </w:rPr>
              <w:t>调研分析报告</w:t>
            </w:r>
          </w:p>
        </w:tc>
        <w:tc>
          <w:tcPr>
            <w:tcW w:w="781"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0.3</w:t>
            </w:r>
          </w:p>
        </w:tc>
        <w:tc>
          <w:tcPr>
            <w:tcW w:w="929"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9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1504" w:type="dxa"/>
            <w:vAlign w:val="center"/>
          </w:tcPr>
          <w:p w:rsidR="00D80472" w:rsidRDefault="00D80472" w:rsidP="00F511EE">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2）选定标杆 </w:t>
            </w:r>
          </w:p>
        </w:tc>
        <w:tc>
          <w:tcPr>
            <w:tcW w:w="5005" w:type="dxa"/>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将主要产品单耗（工序）或主要生产装置先进水平作为标杆对象</w:t>
            </w:r>
          </w:p>
        </w:tc>
        <w:tc>
          <w:tcPr>
            <w:tcW w:w="781"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0.5</w:t>
            </w:r>
          </w:p>
        </w:tc>
        <w:tc>
          <w:tcPr>
            <w:tcW w:w="929"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9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1504" w:type="dxa"/>
            <w:vMerge w:val="restart"/>
            <w:vAlign w:val="center"/>
          </w:tcPr>
          <w:p w:rsidR="00D80472" w:rsidRDefault="00D80472" w:rsidP="00F511EE">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3）对</w:t>
            </w:r>
            <w:proofErr w:type="gramStart"/>
            <w:r>
              <w:rPr>
                <w:rFonts w:ascii="仿宋_GB2312" w:hAnsi="仿宋_GB2312" w:cs="仿宋_GB2312" w:hint="eastAsia"/>
                <w:color w:val="000000"/>
                <w:kern w:val="0"/>
                <w:sz w:val="24"/>
                <w:szCs w:val="24"/>
              </w:rPr>
              <w:t>标分析</w:t>
            </w:r>
            <w:proofErr w:type="gramEnd"/>
            <w:r>
              <w:rPr>
                <w:rFonts w:ascii="仿宋_GB2312" w:hAnsi="仿宋_GB2312" w:cs="仿宋_GB2312" w:hint="eastAsia"/>
                <w:color w:val="000000"/>
                <w:kern w:val="0"/>
                <w:sz w:val="24"/>
                <w:szCs w:val="24"/>
              </w:rPr>
              <w:t xml:space="preserve"> </w:t>
            </w:r>
          </w:p>
        </w:tc>
        <w:tc>
          <w:tcPr>
            <w:tcW w:w="5005" w:type="dxa"/>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spacing w:val="-17"/>
                <w:kern w:val="0"/>
                <w:sz w:val="24"/>
                <w:szCs w:val="24"/>
              </w:rPr>
              <w:t>对对</w:t>
            </w:r>
            <w:proofErr w:type="gramStart"/>
            <w:r>
              <w:rPr>
                <w:rFonts w:ascii="仿宋_GB2312" w:hAnsi="仿宋_GB2312" w:cs="仿宋_GB2312" w:hint="eastAsia"/>
                <w:color w:val="000000"/>
                <w:spacing w:val="-17"/>
                <w:kern w:val="0"/>
                <w:sz w:val="24"/>
                <w:szCs w:val="24"/>
              </w:rPr>
              <w:t>标指标</w:t>
            </w:r>
            <w:proofErr w:type="gramEnd"/>
            <w:r>
              <w:rPr>
                <w:rFonts w:ascii="仿宋_GB2312" w:hAnsi="仿宋_GB2312" w:cs="仿宋_GB2312" w:hint="eastAsia"/>
                <w:color w:val="000000"/>
                <w:spacing w:val="-17"/>
                <w:kern w:val="0"/>
                <w:sz w:val="24"/>
                <w:szCs w:val="24"/>
              </w:rPr>
              <w:t>进行分析，并建立对</w:t>
            </w:r>
            <w:proofErr w:type="gramStart"/>
            <w:r>
              <w:rPr>
                <w:rFonts w:ascii="仿宋_GB2312" w:hAnsi="仿宋_GB2312" w:cs="仿宋_GB2312" w:hint="eastAsia"/>
                <w:color w:val="000000"/>
                <w:spacing w:val="-17"/>
                <w:kern w:val="0"/>
                <w:sz w:val="24"/>
                <w:szCs w:val="24"/>
              </w:rPr>
              <w:t>标指标</w:t>
            </w:r>
            <w:proofErr w:type="gramEnd"/>
            <w:r>
              <w:rPr>
                <w:rFonts w:ascii="仿宋_GB2312" w:hAnsi="仿宋_GB2312" w:cs="仿宋_GB2312" w:hint="eastAsia"/>
                <w:color w:val="000000"/>
                <w:spacing w:val="-17"/>
                <w:kern w:val="0"/>
                <w:sz w:val="24"/>
                <w:szCs w:val="24"/>
              </w:rPr>
              <w:t>三级指标体系</w:t>
            </w:r>
          </w:p>
        </w:tc>
        <w:tc>
          <w:tcPr>
            <w:tcW w:w="781"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0.2</w:t>
            </w:r>
          </w:p>
        </w:tc>
        <w:tc>
          <w:tcPr>
            <w:tcW w:w="929"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9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1504" w:type="dxa"/>
            <w:vMerge/>
            <w:vAlign w:val="center"/>
          </w:tcPr>
          <w:p w:rsidR="00D80472" w:rsidRDefault="00D80472" w:rsidP="00F511EE">
            <w:pPr>
              <w:widowControl/>
              <w:spacing w:line="280" w:lineRule="exact"/>
              <w:jc w:val="left"/>
              <w:rPr>
                <w:rFonts w:ascii="仿宋_GB2312" w:hAnsi="仿宋_GB2312" w:cs="仿宋_GB2312" w:hint="eastAsia"/>
                <w:color w:val="000000"/>
                <w:kern w:val="0"/>
                <w:sz w:val="24"/>
                <w:szCs w:val="24"/>
              </w:rPr>
            </w:pPr>
          </w:p>
        </w:tc>
        <w:tc>
          <w:tcPr>
            <w:tcW w:w="5005" w:type="dxa"/>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与确立的标杆值比对，找出差距，并对存在问题进行分析</w:t>
            </w:r>
          </w:p>
        </w:tc>
        <w:tc>
          <w:tcPr>
            <w:tcW w:w="781"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0.3</w:t>
            </w:r>
          </w:p>
        </w:tc>
        <w:tc>
          <w:tcPr>
            <w:tcW w:w="929"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9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1504" w:type="dxa"/>
            <w:vMerge w:val="restart"/>
            <w:vAlign w:val="center"/>
          </w:tcPr>
          <w:p w:rsidR="00D80472" w:rsidRDefault="00D80472" w:rsidP="00F511EE">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4）对</w:t>
            </w:r>
            <w:proofErr w:type="gramStart"/>
            <w:r>
              <w:rPr>
                <w:rFonts w:ascii="仿宋_GB2312" w:hAnsi="仿宋_GB2312" w:cs="仿宋_GB2312" w:hint="eastAsia"/>
                <w:color w:val="000000"/>
                <w:kern w:val="0"/>
                <w:sz w:val="24"/>
                <w:szCs w:val="24"/>
              </w:rPr>
              <w:t>标基础</w:t>
            </w:r>
            <w:proofErr w:type="gramEnd"/>
          </w:p>
        </w:tc>
        <w:tc>
          <w:tcPr>
            <w:tcW w:w="5005" w:type="dxa"/>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明确对</w:t>
            </w:r>
            <w:proofErr w:type="gramStart"/>
            <w:r>
              <w:rPr>
                <w:rFonts w:ascii="仿宋_GB2312" w:hAnsi="仿宋_GB2312" w:cs="仿宋_GB2312" w:hint="eastAsia"/>
                <w:color w:val="000000"/>
                <w:kern w:val="0"/>
                <w:sz w:val="24"/>
                <w:szCs w:val="24"/>
              </w:rPr>
              <w:t>标指标</w:t>
            </w:r>
            <w:proofErr w:type="gramEnd"/>
            <w:r>
              <w:rPr>
                <w:rFonts w:ascii="仿宋_GB2312" w:hAnsi="仿宋_GB2312" w:cs="仿宋_GB2312" w:hint="eastAsia"/>
                <w:color w:val="000000"/>
                <w:kern w:val="0"/>
                <w:sz w:val="24"/>
                <w:szCs w:val="24"/>
              </w:rPr>
              <w:t>计算范围、完善对</w:t>
            </w:r>
            <w:proofErr w:type="gramStart"/>
            <w:r>
              <w:rPr>
                <w:rFonts w:ascii="仿宋_GB2312" w:hAnsi="仿宋_GB2312" w:cs="仿宋_GB2312" w:hint="eastAsia"/>
                <w:color w:val="000000"/>
                <w:kern w:val="0"/>
                <w:sz w:val="24"/>
                <w:szCs w:val="24"/>
              </w:rPr>
              <w:t>标指标</w:t>
            </w:r>
            <w:proofErr w:type="gramEnd"/>
            <w:r>
              <w:rPr>
                <w:rFonts w:ascii="仿宋_GB2312" w:hAnsi="仿宋_GB2312" w:cs="仿宋_GB2312" w:hint="eastAsia"/>
                <w:color w:val="000000"/>
                <w:kern w:val="0"/>
                <w:sz w:val="24"/>
                <w:szCs w:val="24"/>
              </w:rPr>
              <w:t>基础计量工作</w:t>
            </w:r>
          </w:p>
        </w:tc>
        <w:tc>
          <w:tcPr>
            <w:tcW w:w="781"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0.2</w:t>
            </w:r>
          </w:p>
        </w:tc>
        <w:tc>
          <w:tcPr>
            <w:tcW w:w="929"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9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1504" w:type="dxa"/>
            <w:vMerge/>
            <w:vAlign w:val="center"/>
          </w:tcPr>
          <w:p w:rsidR="00D80472" w:rsidRDefault="00D80472" w:rsidP="00F511EE">
            <w:pPr>
              <w:widowControl/>
              <w:spacing w:line="280" w:lineRule="exact"/>
              <w:jc w:val="left"/>
              <w:rPr>
                <w:rFonts w:ascii="仿宋_GB2312" w:hAnsi="仿宋_GB2312" w:cs="仿宋_GB2312" w:hint="eastAsia"/>
                <w:color w:val="000000"/>
                <w:kern w:val="0"/>
                <w:sz w:val="24"/>
                <w:szCs w:val="24"/>
              </w:rPr>
            </w:pPr>
          </w:p>
        </w:tc>
        <w:tc>
          <w:tcPr>
            <w:tcW w:w="5005" w:type="dxa"/>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建立对</w:t>
            </w:r>
            <w:proofErr w:type="gramStart"/>
            <w:r>
              <w:rPr>
                <w:rFonts w:ascii="仿宋_GB2312" w:hAnsi="仿宋_GB2312" w:cs="仿宋_GB2312" w:hint="eastAsia"/>
                <w:color w:val="000000"/>
                <w:kern w:val="0"/>
                <w:sz w:val="24"/>
                <w:szCs w:val="24"/>
              </w:rPr>
              <w:t>标指标</w:t>
            </w:r>
            <w:proofErr w:type="gramEnd"/>
            <w:r>
              <w:rPr>
                <w:rFonts w:ascii="仿宋_GB2312" w:hAnsi="仿宋_GB2312" w:cs="仿宋_GB2312" w:hint="eastAsia"/>
                <w:color w:val="000000"/>
                <w:kern w:val="0"/>
                <w:sz w:val="24"/>
                <w:szCs w:val="24"/>
              </w:rPr>
              <w:t>统计体系，定期监测及分析能效对</w:t>
            </w:r>
            <w:proofErr w:type="gramStart"/>
            <w:r>
              <w:rPr>
                <w:rFonts w:ascii="仿宋_GB2312" w:hAnsi="仿宋_GB2312" w:cs="仿宋_GB2312" w:hint="eastAsia"/>
                <w:color w:val="000000"/>
                <w:kern w:val="0"/>
                <w:sz w:val="24"/>
                <w:szCs w:val="24"/>
              </w:rPr>
              <w:lastRenderedPageBreak/>
              <w:t>标指标</w:t>
            </w:r>
            <w:proofErr w:type="gramEnd"/>
          </w:p>
        </w:tc>
        <w:tc>
          <w:tcPr>
            <w:tcW w:w="781"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0.3</w:t>
            </w:r>
          </w:p>
        </w:tc>
        <w:tc>
          <w:tcPr>
            <w:tcW w:w="929"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9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1504" w:type="dxa"/>
            <w:vMerge w:val="restart"/>
            <w:vAlign w:val="center"/>
          </w:tcPr>
          <w:p w:rsidR="00D80472" w:rsidRDefault="00D80472" w:rsidP="00F511EE">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5）对</w:t>
            </w:r>
            <w:proofErr w:type="gramStart"/>
            <w:r>
              <w:rPr>
                <w:rFonts w:ascii="仿宋_GB2312" w:hAnsi="仿宋_GB2312" w:cs="仿宋_GB2312" w:hint="eastAsia"/>
                <w:color w:val="000000"/>
                <w:kern w:val="0"/>
                <w:sz w:val="24"/>
                <w:szCs w:val="24"/>
              </w:rPr>
              <w:t>标实践</w:t>
            </w:r>
            <w:proofErr w:type="gramEnd"/>
            <w:r>
              <w:rPr>
                <w:rFonts w:ascii="仿宋_GB2312" w:hAnsi="仿宋_GB2312" w:cs="仿宋_GB2312" w:hint="eastAsia"/>
                <w:color w:val="000000"/>
                <w:kern w:val="0"/>
                <w:sz w:val="24"/>
                <w:szCs w:val="24"/>
              </w:rPr>
              <w:t xml:space="preserve"> </w:t>
            </w:r>
          </w:p>
        </w:tc>
        <w:tc>
          <w:tcPr>
            <w:tcW w:w="5005" w:type="dxa"/>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按照对</w:t>
            </w:r>
            <w:proofErr w:type="gramStart"/>
            <w:r>
              <w:rPr>
                <w:rFonts w:ascii="仿宋_GB2312" w:hAnsi="仿宋_GB2312" w:cs="仿宋_GB2312" w:hint="eastAsia"/>
                <w:color w:val="000000"/>
                <w:kern w:val="0"/>
                <w:sz w:val="24"/>
                <w:szCs w:val="24"/>
              </w:rPr>
              <w:t>标活动</w:t>
            </w:r>
            <w:proofErr w:type="gramEnd"/>
            <w:r>
              <w:rPr>
                <w:rFonts w:ascii="仿宋_GB2312" w:hAnsi="仿宋_GB2312" w:cs="仿宋_GB2312" w:hint="eastAsia"/>
                <w:color w:val="000000"/>
                <w:kern w:val="0"/>
                <w:sz w:val="24"/>
                <w:szCs w:val="24"/>
              </w:rPr>
              <w:t>要求，制定具体详实的能效对</w:t>
            </w:r>
            <w:proofErr w:type="gramStart"/>
            <w:r>
              <w:rPr>
                <w:rFonts w:ascii="仿宋_GB2312" w:hAnsi="仿宋_GB2312" w:cs="仿宋_GB2312" w:hint="eastAsia"/>
                <w:color w:val="000000"/>
                <w:kern w:val="0"/>
                <w:sz w:val="24"/>
                <w:szCs w:val="24"/>
              </w:rPr>
              <w:t>标活动</w:t>
            </w:r>
            <w:proofErr w:type="gramEnd"/>
            <w:r>
              <w:rPr>
                <w:rFonts w:ascii="仿宋_GB2312" w:hAnsi="仿宋_GB2312" w:cs="仿宋_GB2312" w:hint="eastAsia"/>
                <w:color w:val="000000"/>
                <w:kern w:val="0"/>
                <w:sz w:val="24"/>
                <w:szCs w:val="24"/>
              </w:rPr>
              <w:t>实施方案</w:t>
            </w:r>
          </w:p>
        </w:tc>
        <w:tc>
          <w:tcPr>
            <w:tcW w:w="781"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0.5</w:t>
            </w:r>
          </w:p>
        </w:tc>
        <w:tc>
          <w:tcPr>
            <w:tcW w:w="929"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9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1504" w:type="dxa"/>
            <w:vMerge/>
            <w:vAlign w:val="center"/>
          </w:tcPr>
          <w:p w:rsidR="00D80472" w:rsidRDefault="00D80472" w:rsidP="00F511EE">
            <w:pPr>
              <w:widowControl/>
              <w:spacing w:line="280" w:lineRule="exact"/>
              <w:jc w:val="left"/>
              <w:rPr>
                <w:rFonts w:ascii="仿宋_GB2312" w:hAnsi="仿宋_GB2312" w:cs="仿宋_GB2312" w:hint="eastAsia"/>
                <w:color w:val="000000"/>
                <w:kern w:val="0"/>
                <w:sz w:val="24"/>
                <w:szCs w:val="24"/>
              </w:rPr>
            </w:pPr>
          </w:p>
        </w:tc>
        <w:tc>
          <w:tcPr>
            <w:tcW w:w="5005" w:type="dxa"/>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对</w:t>
            </w:r>
            <w:proofErr w:type="gramStart"/>
            <w:r>
              <w:rPr>
                <w:rFonts w:ascii="仿宋_GB2312" w:hAnsi="仿宋_GB2312" w:cs="仿宋_GB2312" w:hint="eastAsia"/>
                <w:color w:val="000000"/>
                <w:kern w:val="0"/>
                <w:sz w:val="24"/>
                <w:szCs w:val="24"/>
              </w:rPr>
              <w:t>标实施</w:t>
            </w:r>
            <w:proofErr w:type="gramEnd"/>
            <w:r>
              <w:rPr>
                <w:rFonts w:ascii="仿宋_GB2312" w:hAnsi="仿宋_GB2312" w:cs="仿宋_GB2312" w:hint="eastAsia"/>
                <w:color w:val="000000"/>
                <w:kern w:val="0"/>
                <w:sz w:val="24"/>
                <w:szCs w:val="24"/>
              </w:rPr>
              <w:t>方案对达到标杆值的保障率达到100%，1分；60%以上的，0.5分；60%以下的，不得分</w:t>
            </w:r>
          </w:p>
        </w:tc>
        <w:tc>
          <w:tcPr>
            <w:tcW w:w="781"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w:t>
            </w:r>
          </w:p>
        </w:tc>
        <w:tc>
          <w:tcPr>
            <w:tcW w:w="929"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9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300"/>
          <w:jc w:val="center"/>
        </w:trPr>
        <w:tc>
          <w:tcPr>
            <w:tcW w:w="1504" w:type="dxa"/>
            <w:vMerge/>
            <w:vAlign w:val="center"/>
          </w:tcPr>
          <w:p w:rsidR="00D80472" w:rsidRDefault="00D80472" w:rsidP="00F511EE">
            <w:pPr>
              <w:widowControl/>
              <w:spacing w:line="280" w:lineRule="exact"/>
              <w:jc w:val="left"/>
              <w:rPr>
                <w:rFonts w:ascii="仿宋_GB2312" w:hAnsi="仿宋_GB2312" w:cs="仿宋_GB2312" w:hint="eastAsia"/>
                <w:color w:val="000000"/>
                <w:kern w:val="0"/>
                <w:sz w:val="24"/>
                <w:szCs w:val="24"/>
              </w:rPr>
            </w:pPr>
          </w:p>
        </w:tc>
        <w:tc>
          <w:tcPr>
            <w:tcW w:w="5005" w:type="dxa"/>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每项改进措施落实了具体责任人和有时间节点安排</w:t>
            </w:r>
          </w:p>
        </w:tc>
        <w:tc>
          <w:tcPr>
            <w:tcW w:w="781"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0.5</w:t>
            </w:r>
          </w:p>
        </w:tc>
        <w:tc>
          <w:tcPr>
            <w:tcW w:w="929"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9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r w:rsidR="00D80472" w:rsidTr="00F511EE">
        <w:trPr>
          <w:trHeight w:val="360"/>
          <w:jc w:val="center"/>
        </w:trPr>
        <w:tc>
          <w:tcPr>
            <w:tcW w:w="1504" w:type="dxa"/>
            <w:vMerge/>
            <w:vAlign w:val="center"/>
          </w:tcPr>
          <w:p w:rsidR="00D80472" w:rsidRDefault="00D80472" w:rsidP="00F511EE">
            <w:pPr>
              <w:widowControl/>
              <w:spacing w:line="280" w:lineRule="exact"/>
              <w:jc w:val="left"/>
              <w:rPr>
                <w:rFonts w:ascii="仿宋_GB2312" w:hAnsi="仿宋_GB2312" w:cs="仿宋_GB2312" w:hint="eastAsia"/>
                <w:color w:val="000000"/>
                <w:kern w:val="0"/>
                <w:sz w:val="24"/>
                <w:szCs w:val="24"/>
              </w:rPr>
            </w:pPr>
          </w:p>
        </w:tc>
        <w:tc>
          <w:tcPr>
            <w:tcW w:w="5005" w:type="dxa"/>
            <w:vAlign w:val="center"/>
          </w:tcPr>
          <w:p w:rsidR="00D80472" w:rsidRDefault="00D80472" w:rsidP="00F511EE">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按照对</w:t>
            </w:r>
            <w:proofErr w:type="gramStart"/>
            <w:r>
              <w:rPr>
                <w:rFonts w:ascii="仿宋_GB2312" w:hAnsi="仿宋_GB2312" w:cs="仿宋_GB2312" w:hint="eastAsia"/>
                <w:color w:val="000000"/>
                <w:kern w:val="0"/>
                <w:sz w:val="24"/>
                <w:szCs w:val="24"/>
              </w:rPr>
              <w:t>标实施</w:t>
            </w:r>
            <w:proofErr w:type="gramEnd"/>
            <w:r>
              <w:rPr>
                <w:rFonts w:ascii="仿宋_GB2312" w:hAnsi="仿宋_GB2312" w:cs="仿宋_GB2312" w:hint="eastAsia"/>
                <w:color w:val="000000"/>
                <w:kern w:val="0"/>
                <w:sz w:val="24"/>
                <w:szCs w:val="24"/>
              </w:rPr>
              <w:t>方案和措施计划，落实改进率100%的，1分，落实改进率60%的，0.5分；60%以下的，不得分</w:t>
            </w:r>
          </w:p>
        </w:tc>
        <w:tc>
          <w:tcPr>
            <w:tcW w:w="781" w:type="dxa"/>
            <w:vAlign w:val="center"/>
          </w:tcPr>
          <w:p w:rsidR="00D80472" w:rsidRDefault="00D80472" w:rsidP="00F511EE">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w:t>
            </w:r>
          </w:p>
        </w:tc>
        <w:tc>
          <w:tcPr>
            <w:tcW w:w="929"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c>
          <w:tcPr>
            <w:tcW w:w="795" w:type="dxa"/>
          </w:tcPr>
          <w:p w:rsidR="00D80472" w:rsidRDefault="00D80472" w:rsidP="00F511EE">
            <w:pPr>
              <w:widowControl/>
              <w:spacing w:line="280" w:lineRule="exact"/>
              <w:jc w:val="center"/>
              <w:rPr>
                <w:rFonts w:ascii="仿宋_GB2312" w:hAnsi="仿宋_GB2312" w:cs="仿宋_GB2312" w:hint="eastAsia"/>
                <w:color w:val="000000"/>
                <w:kern w:val="0"/>
                <w:sz w:val="24"/>
                <w:szCs w:val="24"/>
              </w:rPr>
            </w:pPr>
          </w:p>
        </w:tc>
      </w:tr>
    </w:tbl>
    <w:p w:rsidR="00D80472" w:rsidRDefault="00D80472" w:rsidP="00D80472">
      <w:pPr>
        <w:tabs>
          <w:tab w:val="left" w:pos="1571"/>
        </w:tabs>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评分相关说明，包括文字、照片等素材。</w:t>
      </w:r>
    </w:p>
    <w:p w:rsidR="00D80472" w:rsidRDefault="00D80472" w:rsidP="00D80472">
      <w:pPr>
        <w:spacing w:line="480" w:lineRule="exact"/>
        <w:ind w:firstLineChars="200" w:firstLine="616"/>
        <w:outlineLvl w:val="0"/>
        <w:rPr>
          <w:rFonts w:ascii="黑体" w:eastAsia="黑体" w:hAnsi="黑体" w:cs="黑体" w:hint="eastAsia"/>
          <w:bCs/>
          <w:szCs w:val="32"/>
        </w:rPr>
      </w:pPr>
      <w:bookmarkStart w:id="8" w:name="_Toc463700472"/>
      <w:r>
        <w:rPr>
          <w:rFonts w:ascii="黑体" w:eastAsia="黑体" w:hAnsi="黑体" w:cs="黑体" w:hint="eastAsia"/>
          <w:bCs/>
          <w:szCs w:val="32"/>
        </w:rPr>
        <w:t>四、活动相关建议</w:t>
      </w:r>
      <w:bookmarkEnd w:id="8"/>
    </w:p>
    <w:p w:rsidR="00D80472" w:rsidRDefault="00D80472" w:rsidP="00D80472">
      <w:pPr>
        <w:tabs>
          <w:tab w:val="left" w:pos="1571"/>
        </w:tabs>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对本年度能效领跑者活动的实施提出相关建议，包括实施方案的流程、评价方法以及评价标准等。</w:t>
      </w:r>
    </w:p>
    <w:p w:rsidR="00D80472" w:rsidRDefault="00D80472" w:rsidP="00D80472">
      <w:pPr>
        <w:spacing w:line="480" w:lineRule="exact"/>
        <w:ind w:firstLineChars="200" w:firstLine="616"/>
        <w:outlineLvl w:val="0"/>
        <w:rPr>
          <w:rFonts w:ascii="黑体" w:eastAsia="黑体" w:hAnsi="黑体" w:cs="黑体" w:hint="eastAsia"/>
          <w:bCs/>
          <w:szCs w:val="32"/>
        </w:rPr>
      </w:pPr>
      <w:bookmarkStart w:id="9" w:name="_Toc463700473"/>
      <w:r>
        <w:rPr>
          <w:rFonts w:ascii="黑体" w:eastAsia="黑体" w:hAnsi="黑体" w:cs="黑体" w:hint="eastAsia"/>
          <w:bCs/>
          <w:szCs w:val="32"/>
        </w:rPr>
        <w:t>五、附件</w:t>
      </w:r>
      <w:bookmarkEnd w:id="9"/>
    </w:p>
    <w:p w:rsidR="008F61CD" w:rsidRDefault="00D80472" w:rsidP="00D80472">
      <w:pPr>
        <w:tabs>
          <w:tab w:val="left" w:pos="1571"/>
        </w:tabs>
        <w:spacing w:line="480" w:lineRule="exact"/>
        <w:ind w:firstLineChars="200" w:firstLine="616"/>
      </w:pPr>
      <w:r>
        <w:rPr>
          <w:rFonts w:ascii="仿宋_GB2312" w:hAnsi="仿宋_GB2312" w:cs="仿宋_GB2312" w:hint="eastAsia"/>
          <w:szCs w:val="32"/>
        </w:rPr>
        <w:t>相关证明材料列表</w:t>
      </w:r>
    </w:p>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8047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80472">
    <w:pPr>
      <w:pStyle w:val="a3"/>
      <w:jc w:val="right"/>
    </w:pPr>
    <w:r>
      <w:fldChar w:fldCharType="begin"/>
    </w:r>
    <w:r>
      <w:instrText xml:space="preserve"> PAGE   \* MERGEFORMAT </w:instrText>
    </w:r>
    <w:r>
      <w:fldChar w:fldCharType="separate"/>
    </w:r>
    <w:r>
      <w:rPr>
        <w:lang w:val="zh-CN"/>
      </w:rPr>
      <w:t>-</w:t>
    </w:r>
    <w:r>
      <w:t xml:space="preserve"> 13 -</w:t>
    </w:r>
    <w:r>
      <w:fldChar w:fldCharType="end"/>
    </w:r>
  </w:p>
  <w:p w:rsidR="00000000" w:rsidRDefault="00D80472">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8047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8047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8047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0472"/>
    <w:rsid w:val="000027BB"/>
    <w:rsid w:val="00003CE1"/>
    <w:rsid w:val="00005B57"/>
    <w:rsid w:val="00006099"/>
    <w:rsid w:val="00007090"/>
    <w:rsid w:val="000115BE"/>
    <w:rsid w:val="00012FE5"/>
    <w:rsid w:val="00013193"/>
    <w:rsid w:val="00017490"/>
    <w:rsid w:val="00020CD4"/>
    <w:rsid w:val="0002350C"/>
    <w:rsid w:val="00026868"/>
    <w:rsid w:val="00033DC9"/>
    <w:rsid w:val="00036517"/>
    <w:rsid w:val="000421AB"/>
    <w:rsid w:val="0004607D"/>
    <w:rsid w:val="000465E4"/>
    <w:rsid w:val="00047A1E"/>
    <w:rsid w:val="00056361"/>
    <w:rsid w:val="000612F9"/>
    <w:rsid w:val="000635D0"/>
    <w:rsid w:val="00063D2C"/>
    <w:rsid w:val="00064CAE"/>
    <w:rsid w:val="000677DB"/>
    <w:rsid w:val="00073C62"/>
    <w:rsid w:val="0007636A"/>
    <w:rsid w:val="00076751"/>
    <w:rsid w:val="000771D4"/>
    <w:rsid w:val="000834F0"/>
    <w:rsid w:val="00085D98"/>
    <w:rsid w:val="00090C91"/>
    <w:rsid w:val="00093F08"/>
    <w:rsid w:val="000954FA"/>
    <w:rsid w:val="000A0E5E"/>
    <w:rsid w:val="000A23E2"/>
    <w:rsid w:val="000A45C4"/>
    <w:rsid w:val="000A5ACB"/>
    <w:rsid w:val="000A6448"/>
    <w:rsid w:val="000A7AA2"/>
    <w:rsid w:val="000B0408"/>
    <w:rsid w:val="000B7171"/>
    <w:rsid w:val="000B7B6D"/>
    <w:rsid w:val="000C02E3"/>
    <w:rsid w:val="000C11A8"/>
    <w:rsid w:val="000C3142"/>
    <w:rsid w:val="000C4626"/>
    <w:rsid w:val="000C4991"/>
    <w:rsid w:val="000C63BE"/>
    <w:rsid w:val="000D0D40"/>
    <w:rsid w:val="000D2010"/>
    <w:rsid w:val="000D59AD"/>
    <w:rsid w:val="000E0E57"/>
    <w:rsid w:val="000E2F1A"/>
    <w:rsid w:val="000E3604"/>
    <w:rsid w:val="000E42B6"/>
    <w:rsid w:val="000E63E7"/>
    <w:rsid w:val="000F06C6"/>
    <w:rsid w:val="000F65CB"/>
    <w:rsid w:val="000F7DEF"/>
    <w:rsid w:val="00102163"/>
    <w:rsid w:val="00102BD4"/>
    <w:rsid w:val="00102CF8"/>
    <w:rsid w:val="00103D29"/>
    <w:rsid w:val="00104894"/>
    <w:rsid w:val="00105380"/>
    <w:rsid w:val="00112001"/>
    <w:rsid w:val="00113423"/>
    <w:rsid w:val="001143EA"/>
    <w:rsid w:val="00115E3C"/>
    <w:rsid w:val="00120570"/>
    <w:rsid w:val="00120EE3"/>
    <w:rsid w:val="00122CB8"/>
    <w:rsid w:val="001267B8"/>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738"/>
    <w:rsid w:val="00156804"/>
    <w:rsid w:val="00156A15"/>
    <w:rsid w:val="00156E59"/>
    <w:rsid w:val="001577E9"/>
    <w:rsid w:val="00157B6C"/>
    <w:rsid w:val="0016062C"/>
    <w:rsid w:val="00162FEA"/>
    <w:rsid w:val="00163B2C"/>
    <w:rsid w:val="0016447A"/>
    <w:rsid w:val="00167C98"/>
    <w:rsid w:val="00170E3F"/>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54C7"/>
    <w:rsid w:val="001F648E"/>
    <w:rsid w:val="001F6F09"/>
    <w:rsid w:val="00200B36"/>
    <w:rsid w:val="0020263C"/>
    <w:rsid w:val="0021132B"/>
    <w:rsid w:val="00211506"/>
    <w:rsid w:val="002146D8"/>
    <w:rsid w:val="00215D98"/>
    <w:rsid w:val="002166F5"/>
    <w:rsid w:val="00216AEE"/>
    <w:rsid w:val="00220414"/>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71891"/>
    <w:rsid w:val="00275AA5"/>
    <w:rsid w:val="002769B7"/>
    <w:rsid w:val="00277E11"/>
    <w:rsid w:val="0028012D"/>
    <w:rsid w:val="0028181A"/>
    <w:rsid w:val="0028264E"/>
    <w:rsid w:val="00282E18"/>
    <w:rsid w:val="00283170"/>
    <w:rsid w:val="0028649D"/>
    <w:rsid w:val="00286A39"/>
    <w:rsid w:val="00290970"/>
    <w:rsid w:val="00292377"/>
    <w:rsid w:val="00292CBB"/>
    <w:rsid w:val="00293BD1"/>
    <w:rsid w:val="00293DC8"/>
    <w:rsid w:val="002950CA"/>
    <w:rsid w:val="002961A5"/>
    <w:rsid w:val="00297BCC"/>
    <w:rsid w:val="002A1A99"/>
    <w:rsid w:val="002A26B1"/>
    <w:rsid w:val="002A3485"/>
    <w:rsid w:val="002B1F3E"/>
    <w:rsid w:val="002B3363"/>
    <w:rsid w:val="002B414B"/>
    <w:rsid w:val="002C0709"/>
    <w:rsid w:val="002C428D"/>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E68"/>
    <w:rsid w:val="003405C8"/>
    <w:rsid w:val="003420B3"/>
    <w:rsid w:val="00346259"/>
    <w:rsid w:val="0035036A"/>
    <w:rsid w:val="00350B21"/>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022C"/>
    <w:rsid w:val="0039169E"/>
    <w:rsid w:val="00394EB0"/>
    <w:rsid w:val="00396BDB"/>
    <w:rsid w:val="003A0F94"/>
    <w:rsid w:val="003A2030"/>
    <w:rsid w:val="003A2119"/>
    <w:rsid w:val="003A2808"/>
    <w:rsid w:val="003A2B69"/>
    <w:rsid w:val="003A30C6"/>
    <w:rsid w:val="003A44B9"/>
    <w:rsid w:val="003A5C12"/>
    <w:rsid w:val="003A699F"/>
    <w:rsid w:val="003B0548"/>
    <w:rsid w:val="003B09D0"/>
    <w:rsid w:val="003B0BFA"/>
    <w:rsid w:val="003B5E2A"/>
    <w:rsid w:val="003B69D9"/>
    <w:rsid w:val="003C2AAB"/>
    <w:rsid w:val="003C2D1D"/>
    <w:rsid w:val="003C3656"/>
    <w:rsid w:val="003C73D0"/>
    <w:rsid w:val="003D2B67"/>
    <w:rsid w:val="003D2E48"/>
    <w:rsid w:val="003D4157"/>
    <w:rsid w:val="003D5395"/>
    <w:rsid w:val="003D7262"/>
    <w:rsid w:val="003D7CD0"/>
    <w:rsid w:val="003E292C"/>
    <w:rsid w:val="003E4C65"/>
    <w:rsid w:val="003E4CD9"/>
    <w:rsid w:val="003E5C12"/>
    <w:rsid w:val="003E782B"/>
    <w:rsid w:val="003F08AE"/>
    <w:rsid w:val="003F5D24"/>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49EC"/>
    <w:rsid w:val="00435864"/>
    <w:rsid w:val="00443A3C"/>
    <w:rsid w:val="00444015"/>
    <w:rsid w:val="00450662"/>
    <w:rsid w:val="004508E1"/>
    <w:rsid w:val="00450E05"/>
    <w:rsid w:val="004537A1"/>
    <w:rsid w:val="00453A8A"/>
    <w:rsid w:val="00456EE4"/>
    <w:rsid w:val="0045727E"/>
    <w:rsid w:val="004609EC"/>
    <w:rsid w:val="00460DC4"/>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1F7"/>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49B4"/>
    <w:rsid w:val="0051522D"/>
    <w:rsid w:val="005163D5"/>
    <w:rsid w:val="00524349"/>
    <w:rsid w:val="00533AF3"/>
    <w:rsid w:val="005414A9"/>
    <w:rsid w:val="00541B16"/>
    <w:rsid w:val="00550208"/>
    <w:rsid w:val="00551EBC"/>
    <w:rsid w:val="00554B3B"/>
    <w:rsid w:val="00556D81"/>
    <w:rsid w:val="005605B4"/>
    <w:rsid w:val="005612A6"/>
    <w:rsid w:val="00561DA4"/>
    <w:rsid w:val="00563698"/>
    <w:rsid w:val="00564E0E"/>
    <w:rsid w:val="00567E8E"/>
    <w:rsid w:val="00574F52"/>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3D7D"/>
    <w:rsid w:val="005E499B"/>
    <w:rsid w:val="005E505E"/>
    <w:rsid w:val="005E5BC3"/>
    <w:rsid w:val="005E6103"/>
    <w:rsid w:val="005E6D93"/>
    <w:rsid w:val="005E75DA"/>
    <w:rsid w:val="005F0CE8"/>
    <w:rsid w:val="005F23AD"/>
    <w:rsid w:val="005F35C5"/>
    <w:rsid w:val="005F6404"/>
    <w:rsid w:val="005F6D8F"/>
    <w:rsid w:val="00602DE0"/>
    <w:rsid w:val="00603186"/>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EB4"/>
    <w:rsid w:val="00683592"/>
    <w:rsid w:val="00684FB4"/>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3831"/>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11CB"/>
    <w:rsid w:val="007212AC"/>
    <w:rsid w:val="00723637"/>
    <w:rsid w:val="0072451B"/>
    <w:rsid w:val="0072459B"/>
    <w:rsid w:val="00725743"/>
    <w:rsid w:val="00732227"/>
    <w:rsid w:val="007409A5"/>
    <w:rsid w:val="00741931"/>
    <w:rsid w:val="00742E72"/>
    <w:rsid w:val="00742E82"/>
    <w:rsid w:val="0074352B"/>
    <w:rsid w:val="00743DF7"/>
    <w:rsid w:val="00747220"/>
    <w:rsid w:val="00753211"/>
    <w:rsid w:val="007546B5"/>
    <w:rsid w:val="007552D6"/>
    <w:rsid w:val="00755D04"/>
    <w:rsid w:val="00756C23"/>
    <w:rsid w:val="00761D12"/>
    <w:rsid w:val="007647DF"/>
    <w:rsid w:val="00770251"/>
    <w:rsid w:val="00774E2C"/>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C94"/>
    <w:rsid w:val="007C01FF"/>
    <w:rsid w:val="007C542B"/>
    <w:rsid w:val="007C72A0"/>
    <w:rsid w:val="007D092A"/>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3D7B"/>
    <w:rsid w:val="00814115"/>
    <w:rsid w:val="008165A0"/>
    <w:rsid w:val="00816741"/>
    <w:rsid w:val="008206CE"/>
    <w:rsid w:val="00820A8B"/>
    <w:rsid w:val="0082495E"/>
    <w:rsid w:val="00833B40"/>
    <w:rsid w:val="00837D57"/>
    <w:rsid w:val="00840975"/>
    <w:rsid w:val="008429F9"/>
    <w:rsid w:val="008453EF"/>
    <w:rsid w:val="008475A6"/>
    <w:rsid w:val="008476A7"/>
    <w:rsid w:val="008500EE"/>
    <w:rsid w:val="008502A1"/>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35FD"/>
    <w:rsid w:val="00884E6D"/>
    <w:rsid w:val="00885EAC"/>
    <w:rsid w:val="0088673B"/>
    <w:rsid w:val="0088785C"/>
    <w:rsid w:val="00890262"/>
    <w:rsid w:val="0089058D"/>
    <w:rsid w:val="00892509"/>
    <w:rsid w:val="008934CD"/>
    <w:rsid w:val="0089521E"/>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59CB"/>
    <w:rsid w:val="008C5A1E"/>
    <w:rsid w:val="008C5E47"/>
    <w:rsid w:val="008C640E"/>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7055"/>
    <w:rsid w:val="00930EBC"/>
    <w:rsid w:val="00934211"/>
    <w:rsid w:val="00935C68"/>
    <w:rsid w:val="00936601"/>
    <w:rsid w:val="009372FD"/>
    <w:rsid w:val="00937AC4"/>
    <w:rsid w:val="00940F56"/>
    <w:rsid w:val="00941789"/>
    <w:rsid w:val="00942EE3"/>
    <w:rsid w:val="00943CD1"/>
    <w:rsid w:val="009440D6"/>
    <w:rsid w:val="0094795A"/>
    <w:rsid w:val="00947EC5"/>
    <w:rsid w:val="0095174F"/>
    <w:rsid w:val="00951DD7"/>
    <w:rsid w:val="00954680"/>
    <w:rsid w:val="00955BA3"/>
    <w:rsid w:val="0095672A"/>
    <w:rsid w:val="00956B4A"/>
    <w:rsid w:val="00960CB3"/>
    <w:rsid w:val="0096100F"/>
    <w:rsid w:val="009614FB"/>
    <w:rsid w:val="0096296A"/>
    <w:rsid w:val="00963000"/>
    <w:rsid w:val="00963290"/>
    <w:rsid w:val="0096437F"/>
    <w:rsid w:val="00965B0F"/>
    <w:rsid w:val="00967C04"/>
    <w:rsid w:val="00971B10"/>
    <w:rsid w:val="00971FAC"/>
    <w:rsid w:val="009728E0"/>
    <w:rsid w:val="009737B8"/>
    <w:rsid w:val="00973D2B"/>
    <w:rsid w:val="00975039"/>
    <w:rsid w:val="009802C7"/>
    <w:rsid w:val="009823B4"/>
    <w:rsid w:val="00986C3D"/>
    <w:rsid w:val="009872A4"/>
    <w:rsid w:val="00987689"/>
    <w:rsid w:val="009908D8"/>
    <w:rsid w:val="009A0B36"/>
    <w:rsid w:val="009A3373"/>
    <w:rsid w:val="009A3B42"/>
    <w:rsid w:val="009A5CF7"/>
    <w:rsid w:val="009A6987"/>
    <w:rsid w:val="009B0F09"/>
    <w:rsid w:val="009B6931"/>
    <w:rsid w:val="009B7BE3"/>
    <w:rsid w:val="009C00D1"/>
    <w:rsid w:val="009C09D5"/>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4E61"/>
    <w:rsid w:val="00A0513E"/>
    <w:rsid w:val="00A07D9D"/>
    <w:rsid w:val="00A102E4"/>
    <w:rsid w:val="00A1236A"/>
    <w:rsid w:val="00A134D7"/>
    <w:rsid w:val="00A13DA0"/>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C6A0D"/>
    <w:rsid w:val="00AD0A1D"/>
    <w:rsid w:val="00AD319E"/>
    <w:rsid w:val="00AD3FD1"/>
    <w:rsid w:val="00AD4EE0"/>
    <w:rsid w:val="00AD64DA"/>
    <w:rsid w:val="00AD6BF8"/>
    <w:rsid w:val="00AE0453"/>
    <w:rsid w:val="00AE07A5"/>
    <w:rsid w:val="00AE5AB0"/>
    <w:rsid w:val="00AE6091"/>
    <w:rsid w:val="00AF12AB"/>
    <w:rsid w:val="00AF26F3"/>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45DF"/>
    <w:rsid w:val="00B95695"/>
    <w:rsid w:val="00B95CCA"/>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326"/>
    <w:rsid w:val="00BE4416"/>
    <w:rsid w:val="00BE4D91"/>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1C64"/>
    <w:rsid w:val="00C220E4"/>
    <w:rsid w:val="00C224D4"/>
    <w:rsid w:val="00C242A5"/>
    <w:rsid w:val="00C26BB9"/>
    <w:rsid w:val="00C31058"/>
    <w:rsid w:val="00C319A9"/>
    <w:rsid w:val="00C4052F"/>
    <w:rsid w:val="00C4139B"/>
    <w:rsid w:val="00C42E72"/>
    <w:rsid w:val="00C44A4B"/>
    <w:rsid w:val="00C46134"/>
    <w:rsid w:val="00C47050"/>
    <w:rsid w:val="00C500BB"/>
    <w:rsid w:val="00C50B2B"/>
    <w:rsid w:val="00C50CD6"/>
    <w:rsid w:val="00C5129E"/>
    <w:rsid w:val="00C517DB"/>
    <w:rsid w:val="00C52015"/>
    <w:rsid w:val="00C52FF1"/>
    <w:rsid w:val="00C53D2C"/>
    <w:rsid w:val="00C54A90"/>
    <w:rsid w:val="00C55CD4"/>
    <w:rsid w:val="00C57304"/>
    <w:rsid w:val="00C609B4"/>
    <w:rsid w:val="00C63B07"/>
    <w:rsid w:val="00C63F7E"/>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472D6"/>
    <w:rsid w:val="00D53C64"/>
    <w:rsid w:val="00D57AD8"/>
    <w:rsid w:val="00D60096"/>
    <w:rsid w:val="00D60AD7"/>
    <w:rsid w:val="00D62A98"/>
    <w:rsid w:val="00D66FAE"/>
    <w:rsid w:val="00D70379"/>
    <w:rsid w:val="00D73EEC"/>
    <w:rsid w:val="00D745F2"/>
    <w:rsid w:val="00D77559"/>
    <w:rsid w:val="00D779A5"/>
    <w:rsid w:val="00D802B5"/>
    <w:rsid w:val="00D80472"/>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4175"/>
    <w:rsid w:val="00DB54D0"/>
    <w:rsid w:val="00DB5889"/>
    <w:rsid w:val="00DB744E"/>
    <w:rsid w:val="00DC0A44"/>
    <w:rsid w:val="00DC2800"/>
    <w:rsid w:val="00DC463C"/>
    <w:rsid w:val="00DC798D"/>
    <w:rsid w:val="00DD1369"/>
    <w:rsid w:val="00DD1913"/>
    <w:rsid w:val="00DD243E"/>
    <w:rsid w:val="00DD246E"/>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CD"/>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84F"/>
    <w:rsid w:val="00E76D53"/>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E7900"/>
    <w:rsid w:val="00EF10D2"/>
    <w:rsid w:val="00EF2CCE"/>
    <w:rsid w:val="00EF6335"/>
    <w:rsid w:val="00F00683"/>
    <w:rsid w:val="00F01EB0"/>
    <w:rsid w:val="00F05025"/>
    <w:rsid w:val="00F06316"/>
    <w:rsid w:val="00F079A2"/>
    <w:rsid w:val="00F104F3"/>
    <w:rsid w:val="00F11181"/>
    <w:rsid w:val="00F11EA5"/>
    <w:rsid w:val="00F123C0"/>
    <w:rsid w:val="00F155CE"/>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3693"/>
    <w:rsid w:val="00F843AA"/>
    <w:rsid w:val="00F85379"/>
    <w:rsid w:val="00F8639A"/>
    <w:rsid w:val="00F86CA7"/>
    <w:rsid w:val="00F87A55"/>
    <w:rsid w:val="00F906B0"/>
    <w:rsid w:val="00F93CD3"/>
    <w:rsid w:val="00F940EE"/>
    <w:rsid w:val="00F96343"/>
    <w:rsid w:val="00F969C8"/>
    <w:rsid w:val="00FA08C5"/>
    <w:rsid w:val="00FA2BE0"/>
    <w:rsid w:val="00FA4526"/>
    <w:rsid w:val="00FA4C06"/>
    <w:rsid w:val="00FA5D0A"/>
    <w:rsid w:val="00FA7065"/>
    <w:rsid w:val="00FA7AAF"/>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9B7"/>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472"/>
    <w:pPr>
      <w:widowControl w:val="0"/>
      <w:spacing w:line="240" w:lineRule="atLeast"/>
      <w:jc w:val="both"/>
    </w:pPr>
    <w:rPr>
      <w:rFonts w:ascii="Times New Roman" w:eastAsia="仿宋_GB2312" w:hAnsi="Times New Roman" w:cs="Times New Roman"/>
      <w:spacing w:val="-6"/>
      <w:sz w:val="32"/>
      <w:szCs w:val="20"/>
    </w:rPr>
  </w:style>
  <w:style w:type="paragraph" w:styleId="1">
    <w:name w:val="heading 1"/>
    <w:basedOn w:val="a"/>
    <w:next w:val="a"/>
    <w:link w:val="1Char"/>
    <w:qFormat/>
    <w:rsid w:val="00D80472"/>
    <w:pPr>
      <w:keepNext/>
      <w:keepLines/>
      <w:spacing w:before="340" w:after="330" w:line="576" w:lineRule="auto"/>
      <w:outlineLvl w:val="0"/>
    </w:pPr>
    <w:rPr>
      <w:rFonts w:eastAsia="宋体"/>
      <w:b/>
      <w:bCs/>
      <w:spacing w:val="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80472"/>
    <w:rPr>
      <w:rFonts w:ascii="Times New Roman" w:eastAsia="宋体" w:hAnsi="Times New Roman" w:cs="Times New Roman"/>
      <w:b/>
      <w:bCs/>
      <w:kern w:val="44"/>
      <w:sz w:val="44"/>
      <w:szCs w:val="44"/>
    </w:rPr>
  </w:style>
  <w:style w:type="paragraph" w:styleId="a3">
    <w:name w:val="footer"/>
    <w:basedOn w:val="a"/>
    <w:link w:val="Char"/>
    <w:uiPriority w:val="99"/>
    <w:unhideWhenUsed/>
    <w:rsid w:val="00D80472"/>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uiPriority w:val="99"/>
    <w:rsid w:val="00D80472"/>
    <w:rPr>
      <w:rFonts w:ascii="Times New Roman" w:eastAsia="仿宋_GB2312" w:hAnsi="Times New Roman" w:cs="Times New Roman"/>
      <w:spacing w:val="-6"/>
      <w:sz w:val="20"/>
      <w:szCs w:val="20"/>
    </w:rPr>
  </w:style>
  <w:style w:type="paragraph" w:styleId="a4">
    <w:name w:val="header"/>
    <w:basedOn w:val="a"/>
    <w:link w:val="Char0"/>
    <w:uiPriority w:val="99"/>
    <w:unhideWhenUsed/>
    <w:rsid w:val="00D80472"/>
    <w:pPr>
      <w:tabs>
        <w:tab w:val="center" w:pos="4153"/>
        <w:tab w:val="right" w:pos="8306"/>
      </w:tabs>
      <w:overflowPunct w:val="0"/>
      <w:autoSpaceDE w:val="0"/>
      <w:autoSpaceDN w:val="0"/>
      <w:adjustRightInd w:val="0"/>
      <w:textAlignment w:val="baseline"/>
    </w:pPr>
    <w:rPr>
      <w:sz w:val="20"/>
    </w:rPr>
  </w:style>
  <w:style w:type="character" w:customStyle="1" w:styleId="Char0">
    <w:name w:val="页眉 Char"/>
    <w:basedOn w:val="a0"/>
    <w:link w:val="a4"/>
    <w:uiPriority w:val="99"/>
    <w:rsid w:val="00D80472"/>
    <w:rPr>
      <w:rFonts w:ascii="Times New Roman" w:eastAsia="仿宋_GB2312" w:hAnsi="Times New Roman" w:cs="Times New Roman"/>
      <w:spacing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425</Words>
  <Characters>2426</Characters>
  <Application>Microsoft Office Word</Application>
  <DocSecurity>0</DocSecurity>
  <Lines>20</Lines>
  <Paragraphs>5</Paragraphs>
  <ScaleCrop>false</ScaleCrop>
  <Company>Microsoft</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2020-06-16T07:33:00Z</dcterms:created>
  <dcterms:modified xsi:type="dcterms:W3CDTF">2020-06-16T07:34:00Z</dcterms:modified>
</cp:coreProperties>
</file>