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3D" w:rsidRDefault="0096063D" w:rsidP="0096063D">
      <w:pPr>
        <w:pStyle w:val="1"/>
        <w:spacing w:before="0" w:after="0" w:line="480" w:lineRule="exact"/>
        <w:rPr>
          <w:rFonts w:ascii="黑体" w:eastAsia="黑体" w:hAnsi="黑体" w:cs="黑体" w:hint="eastAsia"/>
          <w:b w:val="0"/>
          <w:sz w:val="32"/>
        </w:rPr>
      </w:pPr>
      <w:r>
        <w:rPr>
          <w:rFonts w:ascii="黑体" w:eastAsia="黑体" w:hAnsi="黑体" w:cs="黑体" w:hint="eastAsia"/>
          <w:b w:val="0"/>
          <w:sz w:val="32"/>
        </w:rPr>
        <w:t>附件8</w:t>
      </w:r>
    </w:p>
    <w:p w:rsidR="0096063D" w:rsidRDefault="0096063D" w:rsidP="0096063D">
      <w:pPr>
        <w:widowControl/>
        <w:jc w:val="left"/>
        <w:rPr>
          <w:rFonts w:ascii="方正小标宋简体" w:eastAsia="方正小标宋简体" w:hAnsi="宋体"/>
          <w:color w:val="000000"/>
          <w:sz w:val="44"/>
        </w:rPr>
      </w:pPr>
    </w:p>
    <w:p w:rsidR="0096063D" w:rsidRDefault="0096063D" w:rsidP="0096063D">
      <w:pPr>
        <w:widowControl/>
        <w:jc w:val="left"/>
        <w:rPr>
          <w:rFonts w:ascii="方正小标宋简体" w:eastAsia="方正小标宋简体" w:hAnsi="宋体"/>
          <w:color w:val="000000"/>
          <w:sz w:val="44"/>
        </w:rPr>
      </w:pPr>
    </w:p>
    <w:p w:rsidR="0096063D" w:rsidRDefault="0096063D" w:rsidP="0096063D">
      <w:pPr>
        <w:widowControl/>
        <w:jc w:val="left"/>
        <w:rPr>
          <w:rFonts w:ascii="方正小标宋简体" w:eastAsia="方正小标宋简体" w:hAnsi="宋体"/>
          <w:color w:val="000000"/>
          <w:sz w:val="44"/>
        </w:rPr>
      </w:pPr>
    </w:p>
    <w:p w:rsidR="0096063D" w:rsidRDefault="0096063D" w:rsidP="0096063D">
      <w:pPr>
        <w:widowControl/>
        <w:jc w:val="center"/>
        <w:rPr>
          <w:rFonts w:ascii="黑体" w:eastAsia="黑体" w:hAnsi="黑体"/>
          <w:color w:val="000000"/>
          <w:sz w:val="44"/>
        </w:rPr>
      </w:pPr>
      <w:r>
        <w:rPr>
          <w:rFonts w:ascii="黑体" w:eastAsia="黑体" w:hAnsi="黑体" w:hint="eastAsia"/>
          <w:color w:val="000000"/>
          <w:sz w:val="44"/>
        </w:rPr>
        <w:t>能效“领跑者”复评报告大纲</w:t>
      </w:r>
    </w:p>
    <w:p w:rsidR="0096063D" w:rsidRDefault="0096063D" w:rsidP="0096063D">
      <w:pPr>
        <w:widowControl/>
        <w:jc w:val="center"/>
        <w:rPr>
          <w:rFonts w:ascii="宋体" w:hAnsi="宋体"/>
          <w:b/>
          <w:color w:val="000000"/>
          <w:sz w:val="44"/>
        </w:rPr>
      </w:pPr>
    </w:p>
    <w:p w:rsidR="0096063D" w:rsidRDefault="0096063D" w:rsidP="0096063D">
      <w:pPr>
        <w:widowControl/>
        <w:jc w:val="center"/>
        <w:rPr>
          <w:rFonts w:ascii="宋体" w:hAnsi="宋体"/>
          <w:b/>
          <w:color w:val="000000"/>
          <w:sz w:val="44"/>
        </w:rPr>
      </w:pPr>
    </w:p>
    <w:p w:rsidR="0096063D" w:rsidRDefault="0096063D" w:rsidP="0096063D">
      <w:pPr>
        <w:widowControl/>
        <w:jc w:val="center"/>
        <w:rPr>
          <w:rFonts w:ascii="宋体" w:hAnsi="宋体"/>
          <w:b/>
          <w:color w:val="000000"/>
          <w:sz w:val="44"/>
        </w:rPr>
      </w:pPr>
    </w:p>
    <w:p w:rsidR="0096063D" w:rsidRDefault="0096063D" w:rsidP="0096063D">
      <w:pPr>
        <w:widowControl/>
        <w:jc w:val="center"/>
        <w:rPr>
          <w:rFonts w:ascii="宋体" w:hAnsi="宋体"/>
          <w:b/>
          <w:color w:val="000000"/>
          <w:sz w:val="44"/>
        </w:rPr>
      </w:pPr>
    </w:p>
    <w:p w:rsidR="0096063D" w:rsidRDefault="0096063D" w:rsidP="0096063D">
      <w:pPr>
        <w:widowControl/>
        <w:jc w:val="center"/>
        <w:rPr>
          <w:rFonts w:ascii="宋体" w:hAnsi="宋体"/>
          <w:b/>
          <w:color w:val="000000"/>
          <w:sz w:val="44"/>
        </w:rPr>
      </w:pPr>
    </w:p>
    <w:p w:rsidR="0096063D" w:rsidRDefault="0096063D" w:rsidP="0096063D">
      <w:pPr>
        <w:widowControl/>
        <w:jc w:val="center"/>
        <w:rPr>
          <w:rFonts w:ascii="宋体" w:hAnsi="宋体"/>
          <w:b/>
          <w:color w:val="000000"/>
          <w:sz w:val="44"/>
        </w:rPr>
      </w:pPr>
    </w:p>
    <w:p w:rsidR="0096063D" w:rsidRDefault="0096063D" w:rsidP="0096063D">
      <w:pPr>
        <w:widowControl/>
        <w:jc w:val="center"/>
        <w:rPr>
          <w:rFonts w:ascii="宋体" w:hAnsi="宋体"/>
          <w:b/>
          <w:color w:val="000000"/>
          <w:sz w:val="44"/>
        </w:rPr>
      </w:pPr>
    </w:p>
    <w:p w:rsidR="0096063D" w:rsidRDefault="0096063D" w:rsidP="0096063D">
      <w:pPr>
        <w:widowControl/>
        <w:jc w:val="center"/>
        <w:rPr>
          <w:rFonts w:ascii="宋体" w:hAnsi="宋体"/>
          <w:b/>
          <w:color w:val="000000"/>
          <w:sz w:val="44"/>
        </w:rPr>
      </w:pPr>
    </w:p>
    <w:p w:rsidR="0096063D" w:rsidRDefault="0096063D" w:rsidP="0096063D">
      <w:pPr>
        <w:widowControl/>
        <w:jc w:val="center"/>
        <w:rPr>
          <w:rFonts w:ascii="宋体" w:hAnsi="宋体"/>
          <w:b/>
          <w:color w:val="000000"/>
          <w:sz w:val="44"/>
        </w:rPr>
      </w:pPr>
    </w:p>
    <w:p w:rsidR="0096063D" w:rsidRDefault="0096063D" w:rsidP="0096063D">
      <w:pPr>
        <w:widowControl/>
        <w:jc w:val="center"/>
        <w:rPr>
          <w:rFonts w:ascii="宋体" w:hAnsi="宋体"/>
          <w:b/>
          <w:color w:val="000000"/>
          <w:sz w:val="44"/>
        </w:rPr>
      </w:pPr>
    </w:p>
    <w:p w:rsidR="0096063D" w:rsidRDefault="0096063D" w:rsidP="0096063D">
      <w:pPr>
        <w:widowControl/>
        <w:jc w:val="center"/>
        <w:rPr>
          <w:rFonts w:ascii="黑体" w:eastAsia="黑体" w:hAnsi="黑体"/>
          <w:b/>
          <w:color w:val="000000"/>
          <w:szCs w:val="32"/>
        </w:rPr>
      </w:pPr>
      <w:r>
        <w:rPr>
          <w:rFonts w:ascii="黑体" w:eastAsia="黑体" w:hAnsi="黑体" w:hint="eastAsia"/>
          <w:b/>
          <w:color w:val="000000"/>
          <w:szCs w:val="32"/>
        </w:rPr>
        <w:t>XXXXXX（企业公章）</w:t>
      </w:r>
    </w:p>
    <w:p w:rsidR="0096063D" w:rsidRDefault="0096063D" w:rsidP="0096063D">
      <w:pPr>
        <w:widowControl/>
        <w:jc w:val="center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20</w:t>
      </w:r>
      <w:r>
        <w:rPr>
          <w:rFonts w:ascii="黑体" w:eastAsia="黑体" w:hAnsi="黑体"/>
          <w:color w:val="000000"/>
        </w:rPr>
        <w:t>20</w:t>
      </w:r>
      <w:r>
        <w:rPr>
          <w:rFonts w:ascii="黑体" w:eastAsia="黑体" w:hAnsi="黑体" w:hint="eastAsia"/>
          <w:color w:val="000000"/>
        </w:rPr>
        <w:t>年</w:t>
      </w:r>
      <w:r>
        <w:rPr>
          <w:rFonts w:ascii="黑体" w:eastAsia="黑体" w:hAnsi="黑体"/>
          <w:color w:val="000000"/>
        </w:rPr>
        <w:t xml:space="preserve">  </w:t>
      </w:r>
      <w:r>
        <w:rPr>
          <w:rFonts w:ascii="黑体" w:eastAsia="黑体" w:hAnsi="黑体" w:hint="eastAsia"/>
          <w:color w:val="000000"/>
        </w:rPr>
        <w:t>月</w:t>
      </w:r>
    </w:p>
    <w:p w:rsidR="0096063D" w:rsidRDefault="0096063D" w:rsidP="0096063D">
      <w:pPr>
        <w:widowControl/>
        <w:spacing w:line="560" w:lineRule="exact"/>
        <w:rPr>
          <w:rFonts w:ascii="黑体" w:eastAsia="黑体" w:hAnsi="黑体" w:cs="黑体" w:hint="eastAsia"/>
          <w:bCs/>
          <w:szCs w:val="32"/>
        </w:rPr>
      </w:pPr>
      <w:r>
        <w:rPr>
          <w:rFonts w:ascii="方正小标宋简体" w:eastAsia="方正小标宋简体" w:hAnsi="宋体" w:hint="eastAsia"/>
          <w:color w:val="000000"/>
          <w:sz w:val="44"/>
        </w:rPr>
        <w:br w:type="page"/>
      </w:r>
      <w:r>
        <w:rPr>
          <w:rFonts w:ascii="方正小标宋简体" w:eastAsia="方正小标宋简体" w:hAnsi="宋体" w:hint="eastAsia"/>
          <w:color w:val="000000"/>
          <w:sz w:val="44"/>
        </w:rPr>
        <w:lastRenderedPageBreak/>
        <w:t xml:space="preserve">   </w:t>
      </w:r>
      <w:r>
        <w:rPr>
          <w:rFonts w:ascii="黑体" w:eastAsia="黑体" w:hAnsi="黑体" w:cs="黑体" w:hint="eastAsia"/>
          <w:bCs/>
          <w:szCs w:val="32"/>
        </w:rPr>
        <w:t>一、用能情况分析</w:t>
      </w:r>
    </w:p>
    <w:p w:rsidR="0096063D" w:rsidRDefault="0096063D" w:rsidP="0096063D">
      <w:pPr>
        <w:spacing w:line="56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1.1 企业基本情况</w:t>
      </w:r>
    </w:p>
    <w:p w:rsidR="0096063D" w:rsidRDefault="0096063D" w:rsidP="0096063D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描述用能企业的基本信息和业务情况，包括生产规模、主要产品等基本信息。</w:t>
      </w:r>
    </w:p>
    <w:p w:rsidR="0096063D" w:rsidRDefault="0096063D" w:rsidP="0096063D">
      <w:pPr>
        <w:spacing w:line="56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1.2 主企业用能情况</w:t>
      </w:r>
    </w:p>
    <w:p w:rsidR="0096063D" w:rsidRDefault="0096063D" w:rsidP="0096063D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描述企业的能源品种和主要用能设备配置情况。</w:t>
      </w:r>
    </w:p>
    <w:p w:rsidR="0096063D" w:rsidRDefault="0096063D" w:rsidP="0096063D">
      <w:pPr>
        <w:spacing w:line="56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1.3 能源管理体系</w:t>
      </w:r>
    </w:p>
    <w:p w:rsidR="0096063D" w:rsidRDefault="0096063D" w:rsidP="0096063D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用能单位的能源计量体系和能源管理制度建设情况，包括能源分项计量情况、能源统计方法、能源管理制度等。</w:t>
      </w:r>
    </w:p>
    <w:p w:rsidR="0096063D" w:rsidRDefault="0096063D" w:rsidP="0096063D">
      <w:pPr>
        <w:spacing w:line="560" w:lineRule="exact"/>
        <w:ind w:firstLineChars="200" w:firstLine="616"/>
        <w:outlineLvl w:val="0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二、能效水平对标</w:t>
      </w:r>
    </w:p>
    <w:p w:rsidR="0096063D" w:rsidRDefault="0096063D" w:rsidP="0096063D">
      <w:pPr>
        <w:spacing w:line="56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2.1 近三年用能情况</w:t>
      </w:r>
    </w:p>
    <w:p w:rsidR="0096063D" w:rsidRDefault="0096063D" w:rsidP="0096063D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统计分析用能企业近三年（2017-2019年）的用能情况，包括电力、热力、天然气、汽柴油等能源消耗，以及能效水平变化情况。如能耗或能效有较大变化，予以说明。</w:t>
      </w:r>
    </w:p>
    <w:p w:rsidR="0096063D" w:rsidRDefault="0096063D" w:rsidP="0096063D">
      <w:pPr>
        <w:spacing w:line="560" w:lineRule="exact"/>
        <w:ind w:firstLineChars="200" w:firstLine="61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2.2 对标达标分析</w:t>
      </w:r>
    </w:p>
    <w:p w:rsidR="0096063D" w:rsidRDefault="0096063D" w:rsidP="0096063D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参照相应的能源消耗限额要求，进行能效对标分析。</w:t>
      </w:r>
    </w:p>
    <w:p w:rsidR="0096063D" w:rsidRDefault="0096063D" w:rsidP="0096063D">
      <w:pPr>
        <w:spacing w:line="560" w:lineRule="exact"/>
        <w:ind w:firstLineChars="200" w:firstLine="616"/>
        <w:outlineLvl w:val="0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三、</w:t>
      </w:r>
      <w:proofErr w:type="gramStart"/>
      <w:r>
        <w:rPr>
          <w:rFonts w:ascii="黑体" w:eastAsia="黑体" w:hAnsi="黑体" w:cs="黑体" w:hint="eastAsia"/>
          <w:bCs/>
          <w:szCs w:val="32"/>
        </w:rPr>
        <w:t>节能降碳工作总结</w:t>
      </w:r>
      <w:proofErr w:type="gramEnd"/>
    </w:p>
    <w:p w:rsidR="0096063D" w:rsidRDefault="0096063D" w:rsidP="0096063D">
      <w:pPr>
        <w:spacing w:line="56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3.1 开展节能技改工作</w:t>
      </w:r>
    </w:p>
    <w:p w:rsidR="0096063D" w:rsidRDefault="0096063D" w:rsidP="0096063D">
      <w:pPr>
        <w:spacing w:line="56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总结2017-2019年用能企业开展的节能技改工作及成效。</w:t>
      </w:r>
    </w:p>
    <w:p w:rsidR="0096063D" w:rsidRDefault="0096063D" w:rsidP="0096063D">
      <w:pPr>
        <w:spacing w:line="56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3.2 完善能源管理体系</w:t>
      </w:r>
    </w:p>
    <w:p w:rsidR="0096063D" w:rsidRDefault="0096063D" w:rsidP="0096063D">
      <w:pPr>
        <w:spacing w:line="56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总结2017-2019年用能单位在能源管理体系/制度上的工作。</w:t>
      </w:r>
    </w:p>
    <w:p w:rsidR="0096063D" w:rsidRDefault="0096063D" w:rsidP="0096063D">
      <w:pPr>
        <w:spacing w:line="56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3.3 下一步工作计划</w:t>
      </w:r>
    </w:p>
    <w:p w:rsidR="0096063D" w:rsidRDefault="0096063D" w:rsidP="0096063D">
      <w:pPr>
        <w:spacing w:line="56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未来三年拟开展的节能技改、加强能源管理方面的工作。</w:t>
      </w:r>
    </w:p>
    <w:p w:rsidR="0096063D" w:rsidRDefault="0096063D" w:rsidP="0096063D">
      <w:pPr>
        <w:spacing w:line="560" w:lineRule="exact"/>
        <w:ind w:firstLineChars="200" w:firstLine="616"/>
        <w:outlineLvl w:val="0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lastRenderedPageBreak/>
        <w:t>四、相关工作建议</w:t>
      </w:r>
    </w:p>
    <w:p w:rsidR="0096063D" w:rsidRDefault="0096063D" w:rsidP="0096063D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对本市能效领跑者活动或政府主管部门节能管理方面的工作建议。</w:t>
      </w:r>
    </w:p>
    <w:p w:rsidR="0096063D" w:rsidRDefault="0096063D" w:rsidP="0096063D"/>
    <w:p w:rsidR="008F61CD" w:rsidRPr="0096063D" w:rsidRDefault="008F61CD"/>
    <w:sectPr w:rsidR="008F61CD" w:rsidRPr="0096063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063D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63D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3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1">
    <w:name w:val="heading 1"/>
    <w:basedOn w:val="a"/>
    <w:next w:val="a"/>
    <w:link w:val="1Char"/>
    <w:qFormat/>
    <w:rsid w:val="0096063D"/>
    <w:pPr>
      <w:keepNext/>
      <w:keepLines/>
      <w:spacing w:before="340" w:after="330" w:line="576" w:lineRule="auto"/>
      <w:outlineLvl w:val="0"/>
    </w:pPr>
    <w:rPr>
      <w:rFonts w:eastAsia="宋体"/>
      <w:b/>
      <w:bCs/>
      <w:spacing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6063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2020-06-16T07:39:00Z</dcterms:created>
  <dcterms:modified xsi:type="dcterms:W3CDTF">2020-06-16T07:39:00Z</dcterms:modified>
</cp:coreProperties>
</file>