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1B" w:rsidRDefault="00ED071B" w:rsidP="00ED071B">
      <w:pPr>
        <w:widowControl/>
        <w:spacing w:line="46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附件1 </w:t>
      </w:r>
      <w:bookmarkStart w:id="0" w:name="_GoBack"/>
      <w:bookmarkEnd w:id="0"/>
    </w:p>
    <w:p w:rsidR="00ED071B" w:rsidRDefault="00ED071B" w:rsidP="00ED071B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上海市2022年网络安全产业创新攻关目录</w:t>
      </w:r>
    </w:p>
    <w:p w:rsidR="00ED071B" w:rsidRDefault="00ED071B" w:rsidP="00ED071B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0"/>
        <w:gridCol w:w="850"/>
        <w:gridCol w:w="1292"/>
        <w:gridCol w:w="6272"/>
      </w:tblGrid>
      <w:tr w:rsidR="00ED071B" w:rsidTr="00015B13">
        <w:trPr>
          <w:trHeight w:val="90"/>
          <w:jc w:val="center"/>
        </w:trPr>
        <w:tc>
          <w:tcPr>
            <w:tcW w:w="830" w:type="dxa"/>
            <w:vAlign w:val="center"/>
          </w:tcPr>
          <w:p w:rsidR="00ED071B" w:rsidRDefault="00ED071B" w:rsidP="00015B13">
            <w:pPr>
              <w:suppressAutoHyphens/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攻关方向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内容简述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 w:val="restart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基础技术创新</w:t>
            </w: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隐私计算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数据资产作为生产要素带来的隐私计算和安全保障需求，构建体系化的隐私计算及安全保障架构，包括（但不限于）隐私计算模型框架、隐私保护场景适应的密码体系应用、隐私控制与抗大数据分析的隐私保护技术、数据敏感性量化、恶意收集数据行为检测和准确溯源、基于信息隐藏的隐私保护技术以及支持高并发的隐私保护服务架构、场景动态适应的隐私动态度量与隐私保护效果评估技术等。有效解决数字化转型下数据安全问题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新一代数字身份认证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万物智能互联时代数字身份管理需求，构建新一代数字身份认证技术，包括（但不限于）器件级硬件指纹技术、低功耗密码技术及应用、多场景适用的物联网安全通信协议、云和边缘计算多维适配的可信身份安全计算环境，面向万物智能互联的数字身份安全体系和数字信任体系等。有效应对万物智能互联时代数字身份管理存在的设备数量巨大、智能硬件算力参差不齐、基础计算架构碎片化、身份仿冒和伪造泛滥等安全挑战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人工智能安全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人工智能应用的新型网络攻击检测和防护需求，构建基于人工智能的安全评估与防御技术能力，包括（但不限于）动态可扩展的网络安全大脑、网络攻击的智能检测与效果研判、漏洞智能化挖掘、基于人工智能模型的脆弱性分析。有效应对人工智能时代网络攻击趋于智能化、大规模网络攻击频繁、网络攻击隐蔽性提高等问题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软件供应链安全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软件供应链安全风险加剧和“安全左移”需求，构建开发安全解决方案，包括利用自动化、智能化、平台化技术，实现安全、开发和运营流程融合，以及对软件开发、开源软件、源代码等进行全面安全检测及防护的安全技术体系，例如</w:t>
            </w:r>
            <w:proofErr w:type="spellStart"/>
            <w:r>
              <w:rPr>
                <w:rFonts w:ascii="仿宋_GB2312" w:hAnsi="仿宋_GB2312" w:cs="仿宋_GB2312" w:hint="eastAsia"/>
                <w:sz w:val="24"/>
                <w:szCs w:val="24"/>
              </w:rPr>
              <w:t>DevSecOps</w:t>
            </w:r>
            <w:proofErr w:type="spellEnd"/>
            <w:r>
              <w:rPr>
                <w:rFonts w:ascii="仿宋_GB2312" w:hAnsi="仿宋_GB2312" w:cs="仿宋_GB2312" w:hint="eastAsia"/>
                <w:sz w:val="24"/>
                <w:szCs w:val="24"/>
              </w:rPr>
              <w:t>安全解决方案、软件成分分析、应用安全测试、源代码安全、代码风险平台等技术、产品和服务。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云原生安全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针对云原生发展趋势，构建云原生的安全能力，包括容器安全、微服务安全、微隔离等类型的技术和产品。还包括利用云原生赋能安全，构建采用云原生架构，提供新的部署模式的安全技术体系。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安全访问服务边缘（SASE）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向云计算技术不断发展和企业上云需求增加，基于云计算的新架构理念，将网络与安全能力通过分布式云进行交付，构建解决多分支场景下的企业网络互联及安全问题的安全技术体系，支持身份驱动的网络和安全策略、云原生架构，支持所有边缘，包括物理位置、云数据中心、用户的移动设备和边缘计算等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API安全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针对普遍的API安全防护需求，构建围绕 API 的设计、开发、测试、运行和下线等阶段的API 安全管理技术方案，包括基于云、大数据、人工智能和行为分析的API安全防护和威胁检测类平台、API安全开发类平台等。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 w:val="restart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应用技术创新</w:t>
            </w: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虚实融合安全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AR、VR、MR等扩展现实技术，构建防范AR欺骗、数据泄露、AR拒绝服务、VR操纵、窃取网络凭据、中间人攻击、勒索软件、假身份等安全风险的防御技术体系。聚焦区块链底层架构，构建针对共识机制、秘钥、智能合约等的安全技术方案，包括（但不限于）形式化验证、加密算法、安全审计等，有效支撑虚实融合应用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数据流通安全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5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面向互联网、政务、金融、大数据等重点行业数据流通需求，构建安全合规的数据流通体系，包括（但不限于）安全多方计算、区块链、联邦学习、可信执行环境、开源代码供应链安全等技术。实现海量数据在开放流通环境下的安全和隐私，有效支撑数据要素市场的构建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智能工控安全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各类工业企业数字化、网络化和智能化发展需求，构建“5G+AI+工业互联网”下的智能工控安全技术能力，包括（但不限于）工业云平台可信安全环境、安全工业通信协议、工业控制系统漏洞发现与态势感知、CPS供应链安全体系等。有效保障传统产业数字化转型安全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智能汽车安全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智能网联汽车发展的安全需求，构建融合终端安全、通讯安全、数据安全的专业化和轻量级的安全技术体系，包括（但不限于）传感器异常数据识别技术、CAN总线认证加密技术、车载IDPS技术、V2X通信安全防护技术、车联网移动APP安全防护与检测技术等。全面护航智能网联汽车产业的创新发展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金融科技安全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5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针对金融科技发展中的各类安全风险，构建促进金融业务创新发展、满足合规监管需要的安全技术体系，包括（但不限于）区块链安全技术、数字货币安全技术、数字反欺诈技术、数据取证技术、金融创新监管沙箱技术等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 w:val="restart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服务业态创新</w:t>
            </w: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网络安全保险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面向各类组织对冲网络安全残余风险所需的保险工具和服务需求，推动网络安全技术产品的高质量和广覆盖，包括针对不同业态的网络安全保险解决方案，以及面向网络安全保险业态的新型网络安全产品服务。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安全运营服务（MSS）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6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针对数字化时代的网络安全新需求，以提升实战化安全能力为目标，基于智能化的安全运营技术，提供创新性的安全运营服务能力，包括资产监测、安全事件响应、威胁情报服务、威胁检测和响应、漏洞管理服务等。</w:t>
            </w:r>
          </w:p>
        </w:tc>
      </w:tr>
      <w:tr w:rsidR="00ED071B" w:rsidTr="00015B13">
        <w:trPr>
          <w:jc w:val="center"/>
        </w:trPr>
        <w:tc>
          <w:tcPr>
            <w:tcW w:w="830" w:type="dxa"/>
            <w:vMerge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9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网络安全监管与合规智能化</w:t>
            </w:r>
          </w:p>
        </w:tc>
        <w:tc>
          <w:tcPr>
            <w:tcW w:w="6272" w:type="dxa"/>
            <w:vAlign w:val="center"/>
          </w:tcPr>
          <w:p w:rsidR="00ED071B" w:rsidRDefault="00ED071B" w:rsidP="00015B13">
            <w:pPr>
              <w:suppressAutoHyphens/>
              <w:spacing w:line="280" w:lineRule="exact"/>
              <w:ind w:firstLineChars="200" w:firstLine="45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面向国内外网络安全合规监管需求，以智能化技术平台赋能网络安全领域的监管、合规和治理，推动全行业网络安全能力的提升。包括网络安全和数据安全的检测和评估工具、网络安全等保合规工具/平台、个人信息保护自评估服务平台、跨境数据审查和合规服务、网络安全合规情报服务等。</w:t>
            </w:r>
          </w:p>
        </w:tc>
      </w:tr>
    </w:tbl>
    <w:p w:rsidR="00ED071B" w:rsidRDefault="00ED071B" w:rsidP="00ED071B">
      <w:pPr>
        <w:spacing w:line="460" w:lineRule="exact"/>
        <w:rPr>
          <w:rFonts w:ascii="黑体" w:eastAsia="黑体" w:hAnsi="黑体"/>
        </w:rPr>
      </w:pP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1B"/>
    <w:rsid w:val="00037E0F"/>
    <w:rsid w:val="009E26DB"/>
    <w:rsid w:val="00E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1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D07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071B"/>
    <w:pPr>
      <w:suppressAutoHyphens/>
      <w:spacing w:line="240" w:lineRule="auto"/>
      <w:jc w:val="left"/>
    </w:pPr>
    <w:rPr>
      <w:rFonts w:ascii="Calibri" w:eastAsia="宋体" w:hAnsi="Calibri"/>
      <w:spacing w:val="0"/>
      <w:kern w:val="0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1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D07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071B"/>
    <w:pPr>
      <w:suppressAutoHyphens/>
      <w:spacing w:line="240" w:lineRule="auto"/>
      <w:jc w:val="left"/>
    </w:pPr>
    <w:rPr>
      <w:rFonts w:ascii="Calibri" w:eastAsia="宋体" w:hAnsi="Calibri"/>
      <w:spacing w:val="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2</cp:revision>
  <dcterms:created xsi:type="dcterms:W3CDTF">2022-07-01T01:03:00Z</dcterms:created>
  <dcterms:modified xsi:type="dcterms:W3CDTF">2022-07-01T01:03:00Z</dcterms:modified>
</cp:coreProperties>
</file>