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7B" w:rsidRDefault="000D387B" w:rsidP="000D387B">
      <w:pPr>
        <w:widowControl/>
        <w:spacing w:line="400" w:lineRule="exact"/>
        <w:jc w:val="lef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</w:t>
      </w:r>
    </w:p>
    <w:p w:rsidR="000D387B" w:rsidRDefault="000D387B" w:rsidP="000D387B">
      <w:pPr>
        <w:spacing w:line="44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2020年度上海市大数据服务供应商推荐目录</w:t>
      </w:r>
    </w:p>
    <w:p w:rsidR="000D387B" w:rsidRDefault="000D387B" w:rsidP="000D387B">
      <w:pPr>
        <w:spacing w:line="400" w:lineRule="exact"/>
        <w:jc w:val="center"/>
        <w:rPr>
          <w:rFonts w:ascii="楷体_GB2312" w:eastAsia="楷体_GB2312" w:hAnsi="楷体_GB2312" w:cs="楷体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（排名不分先后）</w:t>
      </w:r>
    </w:p>
    <w:p w:rsidR="000D387B" w:rsidRDefault="000D387B" w:rsidP="000D387B">
      <w:pPr>
        <w:spacing w:line="400" w:lineRule="exact"/>
        <w:jc w:val="center"/>
        <w:rPr>
          <w:rFonts w:ascii="楷体_GB2312" w:eastAsia="楷体_GB2312" w:hAnsi="楷体_GB2312" w:cs="楷体_GB2312" w:hint="eastAsia"/>
          <w:szCs w:val="32"/>
        </w:rPr>
      </w:pPr>
    </w:p>
    <w:p w:rsidR="000D387B" w:rsidRDefault="000D387B" w:rsidP="000D387B">
      <w:pPr>
        <w:autoSpaceDE w:val="0"/>
        <w:spacing w:line="400" w:lineRule="exact"/>
        <w:ind w:firstLineChars="200" w:firstLine="628"/>
        <w:jc w:val="left"/>
        <w:rPr>
          <w:rFonts w:ascii="黑体" w:eastAsia="黑体" w:hAnsi="黑体" w:cs="黑体" w:hint="eastAsia"/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t>一、通用技术/产品</w:t>
      </w: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9"/>
        <w:gridCol w:w="6964"/>
      </w:tblGrid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上海德拓信息技术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珍岛信息技术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优刻得科技股份有限公司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上海观安信息技术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上海万方数据有限公司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汇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纳科技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上海三零卫士信息安全有限公司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环信息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科技（上海）有限公司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上海望海大数据信息有限公司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普元信息技术股份有限公司</w:t>
            </w:r>
          </w:p>
        </w:tc>
      </w:tr>
      <w:tr w:rsidR="000D387B" w:rsidTr="00333E62">
        <w:trPr>
          <w:trHeight w:val="240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上海脉策数据科技有限公司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上海合合信息科技股份有限公司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万得信息技术股份有限公司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上海科技网络通信有限公司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上海硕恩网络科技股份有限公司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上海市大数据股份有限公司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上海麦杰科技股份有限公司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数库（上海）科技有限公司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上海逸迅信息科技有限公司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上海富数科技有限公司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跬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智信息技术有限公司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文思海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辉智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900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099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上海聚水潭网络科技有限公司</w:t>
            </w:r>
          </w:p>
        </w:tc>
      </w:tr>
    </w:tbl>
    <w:p w:rsidR="000D387B" w:rsidRDefault="000D387B" w:rsidP="000D387B">
      <w:pPr>
        <w:autoSpaceDE w:val="0"/>
        <w:spacing w:line="480" w:lineRule="exact"/>
        <w:ind w:firstLineChars="200" w:firstLine="628"/>
        <w:jc w:val="left"/>
        <w:rPr>
          <w:rFonts w:ascii="黑体" w:eastAsia="黑体" w:hAnsi="黑体" w:cs="黑体" w:hint="eastAsia"/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t>二、垂直行业应用/解决方案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7015"/>
      </w:tblGrid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信号有限公司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携程旅游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网络技术（上海）有限公司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中远海运科技股份有限公司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中国移动通信集团上海有限公司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上海益邦智能技术股份有限公司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上海网波软件股份有限公司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万达信息股份有限公司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上海电科智能系统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上海牵翼网络科技有限公司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银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联智策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顾问（上海）有限公司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上海博科资讯股份有限公司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上海亿通国际股份有限公司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上海汇付数据服务有限公司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达而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观信息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科技（上海）有限公司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上海运匠信息科技有限公司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上海金棕榈数据科技有限公司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华院数据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技术（上海）有限公司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上海市计算技术研究所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济中能源技术服务（上海）有限公司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梦创双杨数据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上海氪信信息技术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上海找钢网信息科技股份有限公司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易居企业（中国）集团有限公司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上海致景信息科技有限公司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冶云商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上海复高计算机科技有限公司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上海晶赞融宣科技有限公司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上海中信信息发展股份有限公司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上海游昆信息技术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亿微征信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上海估家网络科技有限公司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上海安恒智慧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城市安全技术有限公司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3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106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蜜度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信息技术有限公司</w:t>
            </w:r>
          </w:p>
        </w:tc>
      </w:tr>
    </w:tbl>
    <w:p w:rsidR="000D387B" w:rsidRDefault="000D387B" w:rsidP="000D387B">
      <w:pPr>
        <w:autoSpaceDE w:val="0"/>
        <w:spacing w:line="480" w:lineRule="exact"/>
        <w:ind w:firstLineChars="200" w:firstLine="628"/>
        <w:jc w:val="left"/>
        <w:rPr>
          <w:rFonts w:ascii="黑体" w:eastAsia="黑体" w:hAnsi="黑体" w:cs="黑体" w:hint="eastAsia"/>
          <w:bCs/>
          <w:kern w:val="0"/>
        </w:rPr>
      </w:pPr>
      <w:r>
        <w:rPr>
          <w:rFonts w:ascii="黑体" w:eastAsia="黑体" w:hAnsi="黑体" w:cs="黑体" w:hint="eastAsia"/>
          <w:bCs/>
          <w:kern w:val="0"/>
        </w:rPr>
        <w:t>三、大数据公共服务</w:t>
      </w: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7001"/>
      </w:tblGrid>
      <w:tr w:rsidR="000D387B" w:rsidTr="00333E62">
        <w:trPr>
          <w:trHeight w:val="272"/>
          <w:jc w:val="center"/>
        </w:trPr>
        <w:tc>
          <w:tcPr>
            <w:tcW w:w="894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05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4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05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上海数据交易中心有限公司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4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05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上海市新能源汽车公共数据采集与监测研究中心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4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05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上海市信息安全测评认证中心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4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05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上海华东电信研究院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4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05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上海联合产权交易所有限公司</w:t>
            </w:r>
          </w:p>
        </w:tc>
      </w:tr>
      <w:tr w:rsidR="000D387B" w:rsidTr="00333E62">
        <w:trPr>
          <w:trHeight w:val="272"/>
          <w:jc w:val="center"/>
        </w:trPr>
        <w:tc>
          <w:tcPr>
            <w:tcW w:w="894" w:type="pct"/>
            <w:noWrap/>
            <w:vAlign w:val="center"/>
          </w:tcPr>
          <w:p w:rsidR="000D387B" w:rsidRDefault="000D387B" w:rsidP="00333E62">
            <w:pPr>
              <w:pStyle w:val="a5"/>
              <w:widowControl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05" w:type="pct"/>
            <w:noWrap/>
            <w:vAlign w:val="center"/>
          </w:tcPr>
          <w:p w:rsidR="000D387B" w:rsidRDefault="000D387B" w:rsidP="00333E6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上海数据港股份有限公司</w:t>
            </w:r>
          </w:p>
        </w:tc>
      </w:tr>
    </w:tbl>
    <w:tbl>
      <w:tblPr>
        <w:tblpPr w:leftFromText="181" w:rightFromText="181" w:vertAnchor="page" w:horzAnchor="page" w:tblpX="1742" w:tblpY="1397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5191"/>
        <w:gridCol w:w="3653"/>
      </w:tblGrid>
      <w:tr w:rsidR="000D387B" w:rsidTr="00333E62">
        <w:tc>
          <w:tcPr>
            <w:tcW w:w="519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387B" w:rsidRDefault="000D387B" w:rsidP="00333E62">
            <w:pPr>
              <w:autoSpaceDN w:val="0"/>
              <w:spacing w:line="240" w:lineRule="auto"/>
              <w:ind w:firstLineChars="100" w:firstLine="274"/>
              <w:jc w:val="lef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上海市经济和信息化委员会办公室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387B" w:rsidRDefault="000D387B" w:rsidP="00333E62">
            <w:pPr>
              <w:autoSpaceDN w:val="0"/>
              <w:spacing w:line="240" w:lineRule="auto"/>
              <w:ind w:rightChars="100" w:right="314"/>
              <w:jc w:val="righ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2021年6月21日印发</w:t>
            </w:r>
          </w:p>
        </w:tc>
      </w:tr>
      <w:tr w:rsidR="000D387B" w:rsidTr="00333E62">
        <w:trPr>
          <w:trHeight w:hRule="exact" w:val="79"/>
        </w:trPr>
        <w:tc>
          <w:tcPr>
            <w:tcW w:w="5191" w:type="dxa"/>
            <w:tcBorders>
              <w:top w:val="single" w:sz="8" w:space="0" w:color="auto"/>
              <w:bottom w:val="nil"/>
            </w:tcBorders>
          </w:tcPr>
          <w:p w:rsidR="000D387B" w:rsidRDefault="000D387B" w:rsidP="00333E62">
            <w:pPr>
              <w:autoSpaceDN w:val="0"/>
              <w:spacing w:line="24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8" w:space="0" w:color="auto"/>
              <w:bottom w:val="nil"/>
            </w:tcBorders>
          </w:tcPr>
          <w:p w:rsidR="000D387B" w:rsidRDefault="000D387B" w:rsidP="00333E62">
            <w:pPr>
              <w:autoSpaceDN w:val="0"/>
              <w:spacing w:line="240" w:lineRule="auto"/>
              <w:ind w:rightChars="100" w:right="314"/>
              <w:jc w:val="right"/>
              <w:rPr>
                <w:rFonts w:ascii="仿宋" w:eastAsia="仿宋" w:hAnsi="仿宋" w:cs="仿宋" w:hint="eastAsia"/>
                <w:szCs w:val="32"/>
              </w:rPr>
            </w:pPr>
          </w:p>
          <w:p w:rsidR="000D387B" w:rsidRDefault="000D387B" w:rsidP="00333E62">
            <w:pPr>
              <w:autoSpaceDN w:val="0"/>
              <w:spacing w:line="240" w:lineRule="auto"/>
              <w:ind w:rightChars="100" w:right="314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0D387B" w:rsidRDefault="000D387B" w:rsidP="000D387B">
      <w:pPr>
        <w:autoSpaceDN w:val="0"/>
        <w:adjustRightInd w:val="0"/>
        <w:spacing w:line="240" w:lineRule="auto"/>
        <w:jc w:val="left"/>
        <w:rPr>
          <w:rFonts w:ascii="仿宋_GB2312" w:hAnsi="仿宋_GB2312" w:cs="仿宋_GB2312" w:hint="eastAsia"/>
          <w:position w:val="-46"/>
        </w:rPr>
      </w:pPr>
    </w:p>
    <w:p w:rsidR="008F61CD" w:rsidRDefault="008F61CD"/>
    <w:sectPr w:rsidR="008F61CD">
      <w:footerReference w:type="even" r:id="rId4"/>
      <w:footerReference w:type="default" r:id="rId5"/>
      <w:footerReference w:type="first" r:id="rId6"/>
      <w:pgSz w:w="11906" w:h="16838"/>
      <w:pgMar w:top="1967" w:right="1474" w:bottom="1899" w:left="1588" w:header="851" w:footer="1049" w:gutter="0"/>
      <w:cols w:space="720"/>
      <w:docGrid w:type="linesAndChars" w:linePitch="590" w:charSpace="12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6B11">
    <w:pPr>
      <w:pStyle w:val="a3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4"/>
        <w:rFonts w:ascii="宋体" w:eastAsia="宋体" w:hAnsi="宋体" w:hint="eastAsia"/>
        <w:position w:val="-28"/>
        <w:sz w:val="28"/>
      </w:rPr>
    </w:pPr>
    <w:r>
      <w:rPr>
        <w:rStyle w:val="a4"/>
        <w:rFonts w:ascii="宋体" w:eastAsia="宋体" w:hAnsi="宋体" w:hint="eastAsia"/>
        <w:position w:val="-28"/>
        <w:sz w:val="28"/>
      </w:rPr>
      <w:t>—</w:t>
    </w:r>
    <w:r>
      <w:rPr>
        <w:rStyle w:val="a4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4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4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4"/>
        <w:rFonts w:ascii="宋体" w:eastAsia="宋体" w:hAnsi="宋体" w:hint="eastAsia"/>
        <w:position w:val="-28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6B11" w:rsidP="00B34965">
    <w:pPr>
      <w:pStyle w:val="a3"/>
      <w:spacing w:afterLines="220" w:line="432" w:lineRule="auto"/>
      <w:ind w:leftChars="100" w:left="308"/>
      <w:rPr>
        <w:rFonts w:ascii="仿宋_GB2312"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E06B11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0D387B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6B11">
    <w:pPr>
      <w:pStyle w:val="a3"/>
    </w:pPr>
  </w:p>
  <w:p w:rsidR="00000000" w:rsidRDefault="00E06B1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D387B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387B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B9F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6B11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01F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7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D387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0D387B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4">
    <w:name w:val="page number"/>
    <w:basedOn w:val="a0"/>
    <w:rsid w:val="000D387B"/>
  </w:style>
  <w:style w:type="paragraph" w:styleId="a5">
    <w:name w:val="List Paragraph"/>
    <w:basedOn w:val="a"/>
    <w:uiPriority w:val="34"/>
    <w:qFormat/>
    <w:rsid w:val="000D387B"/>
    <w:pPr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2021-06-22T06:45:00Z</dcterms:created>
  <dcterms:modified xsi:type="dcterms:W3CDTF">2021-06-22T06:45:00Z</dcterms:modified>
</cp:coreProperties>
</file>