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EC" w:rsidRDefault="00E262EC" w:rsidP="00E262EC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72"/>
        <w:gridCol w:w="1270"/>
        <w:gridCol w:w="709"/>
        <w:gridCol w:w="3119"/>
        <w:gridCol w:w="826"/>
        <w:gridCol w:w="6578"/>
      </w:tblGrid>
      <w:tr w:rsidR="00E262EC" w:rsidTr="00E262EC">
        <w:trPr>
          <w:trHeight w:val="90"/>
          <w:jc w:val="center"/>
        </w:trPr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2EC" w:rsidRDefault="00E262EC" w:rsidP="003A3C34">
            <w:pPr>
              <w:widowControl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</w:rPr>
              <w:t>2020年上海市工业“百家”、“千家”企业节能“双控”责任评价考核计分表</w:t>
            </w:r>
          </w:p>
        </w:tc>
      </w:tr>
      <w:tr w:rsidR="00E262EC" w:rsidTr="003A3C34">
        <w:trPr>
          <w:trHeight w:val="30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考核内容分解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核查方法和打分具体标准</w:t>
            </w:r>
          </w:p>
        </w:tc>
      </w:tr>
      <w:tr w:rsidR="00E262EC" w:rsidTr="003A3C34">
        <w:trPr>
          <w:trHeight w:val="30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578" w:type="dxa"/>
            <w:vMerge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262EC" w:rsidTr="003A3C34">
        <w:trPr>
          <w:trHeight w:val="975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节能“双控目标（40分）</w:t>
            </w:r>
          </w:p>
        </w:tc>
        <w:tc>
          <w:tcPr>
            <w:tcW w:w="572" w:type="dxa"/>
            <w:vMerge w:val="restart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“十三五”能耗总量和强度控制目标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完成“十三五”总量控制目标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该目标以市经济信息化委下发的“十三五”目标为准，依据市统计局统计数据考核。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完成“十三五”总量控制目标的，得10分；总量超过控制目标的10%以内，得5分；总量超过控制目标的10%以上，不得分。</w:t>
            </w:r>
          </w:p>
        </w:tc>
      </w:tr>
      <w:tr w:rsidR="00E262EC" w:rsidTr="003A3C34">
        <w:trPr>
          <w:trHeight w:val="80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完成“十三五”强度控制目标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该目标以市经济信息化委下发的“十三五”目标为准，依据市统计局统计数据考核。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完成“十三五”强度控制目标的，得10分；完成目标在90%以上的，得5分；完成目标在90%以下的，不得分。</w:t>
            </w:r>
          </w:p>
        </w:tc>
      </w:tr>
      <w:tr w:rsidR="00E262EC" w:rsidTr="003A3C34">
        <w:trPr>
          <w:trHeight w:val="815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2020年能耗总量和强度控制目标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完成2020年总量控制目标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该目标以市经济信息化委下发的“2020年”目标为准，依据市统计局统计数据考核。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完成2020年总量控制目标的，得10分；总量超过控制目标的10%以内，得5分；总量超过控制目标的10%以上，不得分。</w:t>
            </w:r>
          </w:p>
        </w:tc>
      </w:tr>
      <w:tr w:rsidR="00E262EC" w:rsidTr="003A3C34">
        <w:trPr>
          <w:trHeight w:val="665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完成2020年强度控制目标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该目标以市经济信息化委下发的“2020年”目标为准，依据市统计局统计数据考核。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完成2020年强度控制目标的，得10分；完成目标在90%以上的，得5分；完成目标在90%以下的，不得分。</w:t>
            </w:r>
          </w:p>
        </w:tc>
      </w:tr>
      <w:tr w:rsidR="00E262EC" w:rsidTr="003A3C34">
        <w:trPr>
          <w:trHeight w:val="545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</w:t>
            </w:r>
          </w:p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措施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（60分）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节能工作制度建立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1.建立节能工作组织保障体系，并有效运行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通过核查相关文件、会议纪要等进行确认，定期有效运作的，得2分。</w:t>
            </w:r>
          </w:p>
        </w:tc>
      </w:tr>
      <w:tr w:rsidR="00E262EC" w:rsidTr="003A3C34">
        <w:trPr>
          <w:trHeight w:val="495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制定公司年度节能工作计划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核查相关文件及资料。提供2020年本单位内部节能工作计划，得2分。</w:t>
            </w:r>
          </w:p>
        </w:tc>
      </w:tr>
      <w:tr w:rsidR="00E262EC" w:rsidTr="003A3C34">
        <w:trPr>
          <w:trHeight w:val="365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3.成立能源管理机构，设置能源管理岗位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78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核查相关文件及资料。节能管理机构配备到位，得1分；节能专职管理人员配备到位的，得1分。</w:t>
            </w:r>
          </w:p>
        </w:tc>
      </w:tr>
      <w:tr w:rsidR="00E262EC" w:rsidTr="003A3C34">
        <w:trPr>
          <w:trHeight w:val="48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4.实施节能奖惩考核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核查相关文件及资料，制定节能奖惩考核办法的，得1分；落实节能奖惩措施的，得1分。</w:t>
            </w:r>
          </w:p>
        </w:tc>
      </w:tr>
      <w:tr w:rsidR="00E262EC" w:rsidTr="003A3C34">
        <w:trPr>
          <w:trHeight w:val="495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5.建立能源统计、计量等管理制度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核查相关文件及资料。提供本单位能源统计、计量管理制度的，得2分；按照制度要求落实到位，得2分。</w:t>
            </w:r>
          </w:p>
        </w:tc>
      </w:tr>
      <w:tr w:rsidR="00E262EC" w:rsidTr="003A3C34">
        <w:trPr>
          <w:trHeight w:val="72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6.建立、健全能源管理岗位人员培训制度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核查相关文件及资料。对能源计量、统计、审计和主要用能设备操作人员开展专门的节能培训的，得1分；安排相关人员接受其他专业化、系统化的节能培训的，得1分。</w:t>
            </w:r>
          </w:p>
        </w:tc>
      </w:tr>
      <w:tr w:rsidR="00E262EC" w:rsidTr="003A3C34">
        <w:trPr>
          <w:trHeight w:val="255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节能工作开展情况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能源利用状况报告上报情况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按时上报2020年能源利用状况报告的，得4分。</w:t>
            </w:r>
          </w:p>
        </w:tc>
      </w:tr>
      <w:tr w:rsidR="00E262EC" w:rsidTr="003A3C34">
        <w:trPr>
          <w:trHeight w:val="50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2.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经信委节能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月报上报情况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经信委节能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月报上报率达到100%的，得4分；上报率达80％及以上的，得3分；上报率达60％及以上的，得2分；上报率达60％以下的不得分。</w:t>
            </w:r>
          </w:p>
        </w:tc>
      </w:tr>
      <w:tr w:rsidR="00E262EC" w:rsidTr="003A3C34">
        <w:trPr>
          <w:trHeight w:val="425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3.节能减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排投资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78" w:type="dxa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核查相关文件。在节能减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排领域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进行投资改造或建设，得2分；无投资不得分。</w:t>
            </w:r>
          </w:p>
        </w:tc>
      </w:tr>
      <w:tr w:rsidR="00E262EC" w:rsidTr="003A3C34">
        <w:trPr>
          <w:trHeight w:val="48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4.能源审计开展情况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78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在“十三五”期间开展能源审计工作的，得5分；未开展的，不得分；已完成能源审计中整改措施或列入计划的得5分，未开展的不得分。</w:t>
            </w:r>
          </w:p>
        </w:tc>
      </w:tr>
      <w:tr w:rsidR="00E262EC" w:rsidTr="003A3C34">
        <w:trPr>
          <w:trHeight w:val="48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5.开展能源管理体系评价及认证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78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核查相关文件。开展能源管理体系评价工作的，得1分；已取得能源管理体系认证的，得2分。</w:t>
            </w:r>
          </w:p>
        </w:tc>
      </w:tr>
      <w:tr w:rsidR="00E262EC" w:rsidTr="003A3C34">
        <w:trPr>
          <w:trHeight w:val="495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6.节能技改或合同能源管理开展情况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78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核查相关文件。开展节能技改工作或采用合同能源管理方式的，得2分；节能量达到用能总量1%以上的，得2分。</w:t>
            </w:r>
          </w:p>
        </w:tc>
      </w:tr>
      <w:tr w:rsidR="00E262EC" w:rsidTr="003A3C34">
        <w:trPr>
          <w:trHeight w:val="495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7.清洁生产审核开展情况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78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核查相关文件。开展清洁生产审核，得2分；完成清洁生产项目改造验收，得2分。</w:t>
            </w:r>
          </w:p>
        </w:tc>
      </w:tr>
      <w:tr w:rsidR="00E262EC" w:rsidTr="003A3C34">
        <w:trPr>
          <w:trHeight w:val="495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工业废弃物管理和处置情况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78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核查相关文件。建立工业废弃物管理方案和专人负责制度的，得2分；工业废弃物实现闭环流通和 处置的，得2分。</w:t>
            </w:r>
          </w:p>
        </w:tc>
      </w:tr>
      <w:tr w:rsidR="00E262EC" w:rsidTr="003A3C34">
        <w:trPr>
          <w:trHeight w:val="62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9.开展绿色制造系统建设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78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核查相关文件。开展绿色工厂、绿色产品、绿色供应链等相关创建工作的，得2分；获得国家和本市绿色制造示范单位荣誉的，得2分。</w:t>
            </w:r>
          </w:p>
        </w:tc>
      </w:tr>
      <w:tr w:rsidR="00E262EC" w:rsidTr="003A3C34">
        <w:trPr>
          <w:trHeight w:val="315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10.应用国家和本市节能产品技术情况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78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核查相关文件。应用国家和本市推荐节能产品技术的，得4分。</w:t>
            </w:r>
          </w:p>
        </w:tc>
      </w:tr>
      <w:tr w:rsidR="00E262EC" w:rsidTr="003A3C34">
        <w:trPr>
          <w:trHeight w:val="42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11.落实高耗能设备淘汰工作情况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78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52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核查相关文件及资料。完全落实的，得4分，落实率达到80%的，得2分。</w:t>
            </w:r>
          </w:p>
        </w:tc>
      </w:tr>
      <w:tr w:rsidR="00E262EC" w:rsidTr="003A3C34">
        <w:trPr>
          <w:trHeight w:val="300"/>
          <w:jc w:val="center"/>
        </w:trPr>
        <w:tc>
          <w:tcPr>
            <w:tcW w:w="2943" w:type="dxa"/>
            <w:gridSpan w:val="3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578" w:type="dxa"/>
            <w:shd w:val="clear" w:color="000000" w:fill="FFFFFF"/>
            <w:vAlign w:val="center"/>
          </w:tcPr>
          <w:p w:rsidR="00E262EC" w:rsidRDefault="00E262EC" w:rsidP="003A3C34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F61CD" w:rsidRDefault="008F61CD"/>
    <w:sectPr w:rsidR="008F61CD" w:rsidSect="00E262E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2EC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5ACB"/>
    <w:rsid w:val="000A6448"/>
    <w:rsid w:val="000A7AA2"/>
    <w:rsid w:val="000B0408"/>
    <w:rsid w:val="000B2632"/>
    <w:rsid w:val="000B49B3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2EC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E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2021-05-14T08:53:00Z</dcterms:created>
  <dcterms:modified xsi:type="dcterms:W3CDTF">2021-05-14T08:54:00Z</dcterms:modified>
</cp:coreProperties>
</file>