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A3" w:rsidRDefault="00C553A3" w:rsidP="00C553A3">
      <w:pPr>
        <w:spacing w:line="540" w:lineRule="exact"/>
        <w:rPr>
          <w:rFonts w:ascii="黑体" w:eastAsia="黑体" w:hAnsi="黑体" w:cs="黑体"/>
          <w:bCs/>
          <w:szCs w:val="32"/>
        </w:rPr>
      </w:pPr>
      <w:r>
        <w:rPr>
          <w:rFonts w:ascii="黑体" w:eastAsia="黑体" w:hAnsi="黑体" w:cs="黑体" w:hint="eastAsia"/>
          <w:bCs/>
          <w:szCs w:val="32"/>
        </w:rPr>
        <w:t xml:space="preserve">附件 </w:t>
      </w:r>
    </w:p>
    <w:p w:rsidR="00C553A3" w:rsidRDefault="00C553A3" w:rsidP="00C553A3">
      <w:pPr>
        <w:pStyle w:val="a4"/>
        <w:spacing w:before="0" w:beforeAutospacing="0" w:after="0" w:afterAutospacing="0" w:line="5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上海市产业绿贷支持绿色新基建（数据中心）</w:t>
      </w:r>
    </w:p>
    <w:p w:rsidR="00C553A3" w:rsidRDefault="00C553A3" w:rsidP="00C553A3">
      <w:pPr>
        <w:pStyle w:val="a4"/>
        <w:spacing w:before="0" w:beforeAutospacing="0" w:after="0" w:afterAutospacing="0" w:line="5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发展指导意见</w:t>
      </w:r>
    </w:p>
    <w:p w:rsidR="00C553A3" w:rsidRDefault="00C553A3" w:rsidP="00C553A3">
      <w:pPr>
        <w:pStyle w:val="a4"/>
        <w:spacing w:before="0" w:beforeAutospacing="0" w:after="0" w:afterAutospacing="0" w:line="540" w:lineRule="exact"/>
        <w:jc w:val="both"/>
        <w:rPr>
          <w:rFonts w:ascii="Times New Roman" w:eastAsia="仿宋_GB2312" w:hAnsi="Times New Roman" w:cs="Times New Roman"/>
          <w:bCs/>
          <w:sz w:val="32"/>
          <w:szCs w:val="32"/>
        </w:rPr>
      </w:pPr>
    </w:p>
    <w:p w:rsidR="00C553A3" w:rsidRDefault="00C553A3" w:rsidP="00C553A3">
      <w:pPr>
        <w:pStyle w:val="a4"/>
        <w:shd w:val="clear" w:color="auto" w:fill="FFFFFF"/>
        <w:adjustRightInd w:val="0"/>
        <w:snapToGrid w:val="0"/>
        <w:spacing w:before="0" w:beforeAutospacing="0" w:after="0" w:afterAutospacing="0" w:line="540" w:lineRule="exact"/>
        <w:ind w:firstLine="482"/>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上海市推进新型基础设施建设行动方案（2020-2022年）》提出围绕新网络、新设施、新平台、新终端等进行统筹布局。同时，上海为加快推进本市产业高质量绿色发展，积极培育经济增长新动能，贯彻落实《工业和信息化部办公厅 国家开发银行办公厅&lt;关于加快推进工业节能与绿色发展的通知&gt;》精神，上海市经济信息化委员会、国开行上海市分行共同制定了《关于本市支持工业节能与绿色发展融资服务的实施意见》，为了形成政策合力，提出以下意见。</w:t>
      </w:r>
    </w:p>
    <w:p w:rsidR="00C553A3" w:rsidRDefault="00C553A3" w:rsidP="00C553A3">
      <w:pPr>
        <w:pStyle w:val="a4"/>
        <w:adjustRightInd w:val="0"/>
        <w:snapToGrid w:val="0"/>
        <w:spacing w:before="0" w:beforeAutospacing="0" w:after="0" w:afterAutospacing="0" w:line="540" w:lineRule="exact"/>
        <w:ind w:firstLineChars="200" w:firstLine="652"/>
        <w:jc w:val="both"/>
        <w:rPr>
          <w:rFonts w:ascii="黑体" w:eastAsia="黑体" w:hAnsi="黑体" w:cs="黑体"/>
          <w:bCs/>
          <w:sz w:val="32"/>
          <w:szCs w:val="32"/>
        </w:rPr>
      </w:pPr>
      <w:r>
        <w:rPr>
          <w:rFonts w:ascii="黑体" w:eastAsia="黑体" w:hAnsi="黑体" w:cs="黑体" w:hint="eastAsia"/>
          <w:bCs/>
          <w:sz w:val="32"/>
          <w:szCs w:val="32"/>
        </w:rPr>
        <w:t>一、总体要求</w:t>
      </w:r>
    </w:p>
    <w:p w:rsidR="00C553A3" w:rsidRDefault="00C553A3" w:rsidP="00C553A3">
      <w:pPr>
        <w:pStyle w:val="a4"/>
        <w:shd w:val="clear" w:color="auto" w:fill="FFFFFF"/>
        <w:adjustRightInd w:val="0"/>
        <w:snapToGrid w:val="0"/>
        <w:spacing w:before="0" w:beforeAutospacing="0" w:after="0" w:afterAutospacing="0" w:line="540" w:lineRule="exact"/>
        <w:ind w:firstLineChars="200" w:firstLine="65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以产业绿贷为抓手，引导新基建项目在建设过程中采用先进节能技术产品。</w:t>
      </w:r>
      <w:r>
        <w:rPr>
          <w:rFonts w:ascii="仿宋_GB2312" w:eastAsia="仿宋_GB2312" w:hAnsi="仿宋_GB2312" w:cs="仿宋_GB2312" w:hint="eastAsia"/>
          <w:bCs/>
          <w:sz w:val="32"/>
          <w:szCs w:val="32"/>
        </w:rPr>
        <w:t>数据中心是“新基建”的基础设施，数据、计算、网络的基石，以数据中心为切入点，</w:t>
      </w:r>
      <w:r>
        <w:rPr>
          <w:rFonts w:ascii="仿宋_GB2312" w:eastAsia="仿宋_GB2312" w:hAnsi="仿宋_GB2312" w:cs="仿宋_GB2312" w:hint="eastAsia"/>
          <w:sz w:val="32"/>
          <w:szCs w:val="32"/>
        </w:rPr>
        <w:t>为优质的数据中心项目提供精准的金融服务，提升新建数据中心绿色发展水平。</w:t>
      </w:r>
    </w:p>
    <w:p w:rsidR="00C553A3" w:rsidRDefault="00C553A3" w:rsidP="00C553A3">
      <w:pPr>
        <w:pStyle w:val="a4"/>
        <w:adjustRightInd w:val="0"/>
        <w:snapToGrid w:val="0"/>
        <w:spacing w:before="0" w:beforeAutospacing="0" w:after="0" w:afterAutospacing="0" w:line="540" w:lineRule="exact"/>
        <w:ind w:firstLineChars="200" w:firstLine="652"/>
        <w:jc w:val="both"/>
        <w:rPr>
          <w:rFonts w:ascii="黑体" w:eastAsia="黑体" w:hAnsi="黑体" w:cs="黑体"/>
          <w:bCs/>
          <w:sz w:val="32"/>
          <w:szCs w:val="32"/>
        </w:rPr>
      </w:pPr>
      <w:r>
        <w:rPr>
          <w:rFonts w:ascii="黑体" w:eastAsia="黑体" w:hAnsi="黑体" w:cs="黑体" w:hint="eastAsia"/>
          <w:bCs/>
          <w:sz w:val="32"/>
          <w:szCs w:val="32"/>
        </w:rPr>
        <w:t>二、目标任务</w:t>
      </w:r>
    </w:p>
    <w:p w:rsidR="00C553A3" w:rsidRDefault="00C553A3" w:rsidP="00C553A3">
      <w:pPr>
        <w:spacing w:line="540" w:lineRule="exact"/>
        <w:ind w:firstLineChars="200" w:firstLine="628"/>
        <w:rPr>
          <w:rFonts w:ascii="仿宋_GB2312" w:hAnsi="仿宋_GB2312" w:cs="仿宋_GB2312"/>
          <w:szCs w:val="32"/>
        </w:rPr>
      </w:pPr>
      <w:r>
        <w:rPr>
          <w:rFonts w:ascii="仿宋_GB2312" w:hAnsi="仿宋_GB2312" w:cs="仿宋_GB2312" w:hint="eastAsia"/>
          <w:szCs w:val="32"/>
        </w:rPr>
        <w:t>在上海市批准的数据中心项目中，通过推广先进节能技术应用，贷款期内可带动节能环保产业发展。通过新建数据中心的技术应用作为示范，以及强制性地方标准《数据中心能源消耗限额》实施后对企业实施节能改造的倒逼作用，可进一步促进既有数据中心的绿色低碳技术应用。</w:t>
      </w:r>
    </w:p>
    <w:p w:rsidR="00C553A3" w:rsidRDefault="00C553A3" w:rsidP="00C553A3">
      <w:pPr>
        <w:pStyle w:val="a4"/>
        <w:adjustRightInd w:val="0"/>
        <w:snapToGrid w:val="0"/>
        <w:spacing w:before="0" w:beforeAutospacing="0" w:after="0" w:afterAutospacing="0" w:line="540" w:lineRule="exact"/>
        <w:ind w:firstLineChars="200" w:firstLine="652"/>
        <w:jc w:val="both"/>
        <w:rPr>
          <w:rFonts w:ascii="黑体" w:eastAsia="黑体" w:hAnsi="黑体" w:cs="黑体"/>
          <w:bCs/>
          <w:sz w:val="32"/>
          <w:szCs w:val="32"/>
        </w:rPr>
      </w:pPr>
      <w:r>
        <w:rPr>
          <w:rFonts w:ascii="黑体" w:eastAsia="黑体" w:hAnsi="黑体" w:cs="黑体" w:hint="eastAsia"/>
          <w:bCs/>
          <w:sz w:val="32"/>
          <w:szCs w:val="32"/>
        </w:rPr>
        <w:lastRenderedPageBreak/>
        <w:t>三、加强先进性技术指导</w:t>
      </w:r>
    </w:p>
    <w:p w:rsidR="00C553A3" w:rsidRDefault="00C553A3" w:rsidP="00C553A3">
      <w:pPr>
        <w:spacing w:line="540" w:lineRule="exact"/>
        <w:ind w:firstLineChars="200" w:firstLine="628"/>
        <w:rPr>
          <w:rFonts w:ascii="仿宋_GB2312" w:hAnsi="仿宋_GB2312" w:cs="仿宋_GB2312"/>
          <w:szCs w:val="32"/>
        </w:rPr>
      </w:pPr>
      <w:r>
        <w:rPr>
          <w:rFonts w:ascii="仿宋_GB2312" w:hAnsi="仿宋_GB2312" w:cs="仿宋_GB2312" w:hint="eastAsia"/>
          <w:szCs w:val="32"/>
        </w:rPr>
        <w:t>按照《上海市推进新一代信息基础设施建设助力提升城市能级和核心竞争力三年行动计划（2018-2020年）》和工信部《绿色数据中心先进适用技术产品目录》要求（附件一），结合上海的气候特点综合考虑，编制《上海市数据中心先进适用技术目录》，重点加强对新建数据中心在IT设备、机架布局、制冷和散热系统、供配电系统以及清洁能源利用系统等方面的绿色化设计指导，并按各项技术对提高能效的贡献率、技术成熟度、经济性等因素进行分级，共分3级， 1级为积极鼓励使用，2级为值得推广，3级为可推广。</w:t>
      </w:r>
    </w:p>
    <w:p w:rsidR="00C553A3" w:rsidRDefault="00C553A3" w:rsidP="00C553A3">
      <w:pPr>
        <w:pStyle w:val="a4"/>
        <w:adjustRightInd w:val="0"/>
        <w:snapToGrid w:val="0"/>
        <w:spacing w:before="0" w:beforeAutospacing="0" w:after="0" w:afterAutospacing="0" w:line="540" w:lineRule="exact"/>
        <w:ind w:firstLineChars="200" w:firstLine="652"/>
        <w:jc w:val="both"/>
        <w:rPr>
          <w:rFonts w:ascii="黑体" w:eastAsia="黑体" w:hAnsi="黑体" w:cs="黑体"/>
          <w:bCs/>
          <w:sz w:val="32"/>
          <w:szCs w:val="32"/>
        </w:rPr>
      </w:pPr>
      <w:r>
        <w:rPr>
          <w:rFonts w:ascii="黑体" w:eastAsia="黑体" w:hAnsi="黑体" w:cs="黑体" w:hint="eastAsia"/>
          <w:bCs/>
          <w:sz w:val="32"/>
          <w:szCs w:val="32"/>
        </w:rPr>
        <w:t>四、加大差异化金融支持</w:t>
      </w:r>
    </w:p>
    <w:p w:rsidR="00C553A3" w:rsidRDefault="00C553A3" w:rsidP="00C553A3">
      <w:pPr>
        <w:spacing w:line="540" w:lineRule="exact"/>
        <w:ind w:firstLineChars="200" w:firstLine="628"/>
        <w:rPr>
          <w:rFonts w:ascii="仿宋_GB2312" w:hAnsi="仿宋_GB2312" w:cs="仿宋_GB2312"/>
          <w:szCs w:val="32"/>
        </w:rPr>
      </w:pPr>
      <w:r>
        <w:rPr>
          <w:rFonts w:ascii="仿宋_GB2312" w:hAnsi="仿宋_GB2312" w:cs="仿宋_GB2312" w:hint="eastAsia"/>
          <w:szCs w:val="32"/>
        </w:rPr>
        <w:t>利用经济杠杆，引导新建项目加大先进节能技术的应用。产业投资促进服务平台将结合“上海产业绿贷”，探索建立对于采用不同先进节能技术的数据中心项目享受差异化利率的服务体系，因地制宜，分档制定菜单化的金融产品,根据新建数据中心项目应用技术情况，在申请绿色信贷时，给予一定的贷款利率下浮，鼓励采取多种组合模式（附件2），享受优惠叠加。</w:t>
      </w:r>
    </w:p>
    <w:p w:rsidR="00C553A3" w:rsidRDefault="00C553A3" w:rsidP="00C553A3">
      <w:pPr>
        <w:pStyle w:val="a4"/>
        <w:adjustRightInd w:val="0"/>
        <w:snapToGrid w:val="0"/>
        <w:spacing w:before="0" w:beforeAutospacing="0" w:after="0" w:afterAutospacing="0" w:line="540" w:lineRule="exact"/>
        <w:ind w:firstLineChars="200" w:firstLine="652"/>
        <w:jc w:val="both"/>
        <w:rPr>
          <w:rFonts w:ascii="黑体" w:eastAsia="黑体" w:hAnsi="黑体" w:cs="黑体"/>
          <w:bCs/>
          <w:sz w:val="32"/>
          <w:szCs w:val="32"/>
        </w:rPr>
      </w:pPr>
      <w:r>
        <w:rPr>
          <w:rFonts w:ascii="黑体" w:eastAsia="黑体" w:hAnsi="黑体" w:cs="黑体" w:hint="eastAsia"/>
          <w:bCs/>
          <w:sz w:val="32"/>
          <w:szCs w:val="32"/>
        </w:rPr>
        <w:t>五、严格全流程评价管理</w:t>
      </w:r>
    </w:p>
    <w:p w:rsidR="00C553A3" w:rsidRDefault="00C553A3" w:rsidP="00C553A3">
      <w:pPr>
        <w:spacing w:line="540" w:lineRule="exact"/>
        <w:ind w:firstLineChars="200" w:firstLine="630"/>
        <w:rPr>
          <w:rFonts w:ascii="仿宋_GB2312" w:hAnsi="仿宋_GB2312" w:cs="仿宋_GB2312"/>
          <w:szCs w:val="32"/>
        </w:rPr>
      </w:pPr>
      <w:r>
        <w:rPr>
          <w:rFonts w:ascii="仿宋_GB2312" w:hAnsi="仿宋_GB2312" w:cs="仿宋_GB2312" w:hint="eastAsia"/>
          <w:b/>
          <w:bCs/>
          <w:szCs w:val="32"/>
        </w:rPr>
        <w:t>一是</w:t>
      </w:r>
      <w:r>
        <w:rPr>
          <w:rFonts w:ascii="仿宋_GB2312" w:hAnsi="仿宋_GB2312" w:cs="仿宋_GB2312" w:hint="eastAsia"/>
          <w:bCs/>
          <w:szCs w:val="32"/>
        </w:rPr>
        <w:t>事先评价，</w:t>
      </w:r>
      <w:r>
        <w:rPr>
          <w:rFonts w:ascii="仿宋_GB2312" w:hAnsi="仿宋_GB2312" w:cs="仿宋_GB2312" w:hint="eastAsia"/>
          <w:szCs w:val="32"/>
        </w:rPr>
        <w:t>项目建设前，由第三方机构对数据中心建设项目拟采用的技术进行分级评价及符合性审核，相关评价报告用于产业绿贷的资金凭证，银行</w:t>
      </w:r>
      <w:r>
        <w:rPr>
          <w:rFonts w:ascii="仿宋_GB2312" w:hAnsi="仿宋_GB2312" w:cs="仿宋_GB2312" w:hint="eastAsia"/>
          <w:bCs/>
          <w:szCs w:val="32"/>
        </w:rPr>
        <w:t>根据节能评级情况给予相应优惠利率</w:t>
      </w:r>
      <w:r>
        <w:rPr>
          <w:rFonts w:ascii="仿宋_GB2312" w:hAnsi="仿宋_GB2312" w:cs="仿宋_GB2312" w:hint="eastAsia"/>
          <w:szCs w:val="32"/>
        </w:rPr>
        <w:t>。</w:t>
      </w:r>
      <w:r>
        <w:rPr>
          <w:rFonts w:ascii="仿宋_GB2312" w:hAnsi="仿宋_GB2312" w:cs="仿宋_GB2312" w:hint="eastAsia"/>
          <w:b/>
          <w:bCs/>
          <w:szCs w:val="32"/>
        </w:rPr>
        <w:t>二是</w:t>
      </w:r>
      <w:r>
        <w:rPr>
          <w:rFonts w:ascii="仿宋_GB2312" w:hAnsi="仿宋_GB2312" w:cs="仿宋_GB2312" w:hint="eastAsia"/>
          <w:bCs/>
          <w:szCs w:val="32"/>
        </w:rPr>
        <w:t>事中管理，</w:t>
      </w:r>
      <w:r>
        <w:rPr>
          <w:rFonts w:ascii="仿宋_GB2312" w:hAnsi="仿宋_GB2312" w:cs="仿宋_GB2312" w:hint="eastAsia"/>
          <w:szCs w:val="32"/>
        </w:rPr>
        <w:t>项目建设过程中，由第三方机构跟踪项目进度，重点关注承诺的先进节能技术按期建设投用，确保贷款资金</w:t>
      </w:r>
      <w:r>
        <w:rPr>
          <w:rFonts w:ascii="仿宋_GB2312" w:hAnsi="仿宋_GB2312" w:cs="仿宋_GB2312" w:hint="eastAsia"/>
          <w:szCs w:val="32"/>
        </w:rPr>
        <w:lastRenderedPageBreak/>
        <w:t>专款专用。</w:t>
      </w:r>
      <w:r>
        <w:rPr>
          <w:rFonts w:ascii="仿宋_GB2312" w:hAnsi="仿宋_GB2312" w:cs="仿宋_GB2312" w:hint="eastAsia"/>
          <w:b/>
          <w:bCs/>
          <w:szCs w:val="32"/>
        </w:rPr>
        <w:t>三是</w:t>
      </w:r>
      <w:r>
        <w:rPr>
          <w:rFonts w:ascii="仿宋_GB2312" w:hAnsi="仿宋_GB2312" w:cs="仿宋_GB2312" w:hint="eastAsia"/>
          <w:bCs/>
          <w:szCs w:val="32"/>
        </w:rPr>
        <w:t>事后验收，</w:t>
      </w:r>
      <w:r>
        <w:rPr>
          <w:rFonts w:ascii="仿宋_GB2312" w:hAnsi="仿宋_GB2312" w:cs="仿宋_GB2312" w:hint="eastAsia"/>
          <w:szCs w:val="32"/>
        </w:rPr>
        <w:t>待项目建成后，由第三方机构根据项目实际运用节能技术和项目运行的能耗情况，对</w:t>
      </w:r>
      <w:r>
        <w:rPr>
          <w:rFonts w:ascii="仿宋_GB2312" w:hAnsi="仿宋_GB2312" w:cs="仿宋_GB2312" w:hint="eastAsia"/>
          <w:bCs/>
          <w:szCs w:val="32"/>
        </w:rPr>
        <w:t>建设项目后评估、市场饱和度、项目上架率、同业竞争情况、技术分级评价等</w:t>
      </w:r>
      <w:r>
        <w:rPr>
          <w:rFonts w:ascii="仿宋_GB2312" w:hAnsi="仿宋_GB2312" w:cs="仿宋_GB2312" w:hint="eastAsia"/>
          <w:szCs w:val="32"/>
        </w:rPr>
        <w:t>开展后评价验收，</w:t>
      </w:r>
      <w:r>
        <w:rPr>
          <w:rFonts w:ascii="仿宋_GB2312" w:hAnsi="仿宋_GB2312" w:cs="仿宋_GB2312" w:hint="eastAsia"/>
          <w:bCs/>
          <w:szCs w:val="32"/>
        </w:rPr>
        <w:t>并定期提供相关数据，银行依据评估结果，</w:t>
      </w:r>
      <w:r>
        <w:rPr>
          <w:rFonts w:ascii="仿宋_GB2312" w:hAnsi="仿宋_GB2312" w:cs="仿宋_GB2312" w:hint="eastAsia"/>
          <w:szCs w:val="32"/>
        </w:rPr>
        <w:t>对于不符合验收条件，取消其优惠利率，同时建立数据中心能源报表制度，对数据中心实行常态化能源管理。</w:t>
      </w:r>
    </w:p>
    <w:p w:rsidR="00C553A3" w:rsidRDefault="00C553A3" w:rsidP="00C553A3">
      <w:pPr>
        <w:spacing w:line="540" w:lineRule="exact"/>
        <w:ind w:firstLineChars="200" w:firstLine="628"/>
        <w:rPr>
          <w:rFonts w:ascii="仿宋_GB2312" w:hAnsi="仿宋_GB2312" w:cs="仿宋_GB2312"/>
          <w:szCs w:val="32"/>
        </w:rPr>
      </w:pPr>
    </w:p>
    <w:p w:rsidR="00C553A3" w:rsidRDefault="00C553A3" w:rsidP="00C553A3">
      <w:pPr>
        <w:spacing w:line="540" w:lineRule="exact"/>
        <w:ind w:firstLineChars="200" w:firstLine="628"/>
        <w:rPr>
          <w:rFonts w:ascii="仿宋_GB2312" w:hAnsi="仿宋_GB2312" w:cs="仿宋_GB2312"/>
          <w:szCs w:val="32"/>
        </w:rPr>
      </w:pPr>
      <w:r>
        <w:rPr>
          <w:rFonts w:ascii="仿宋_GB2312" w:hAnsi="仿宋_GB2312" w:cs="仿宋_GB2312" w:hint="eastAsia"/>
          <w:szCs w:val="32"/>
        </w:rPr>
        <w:t>附件：1.上海市数据中心节能技术目录（第一批）</w:t>
      </w:r>
    </w:p>
    <w:p w:rsidR="00C553A3" w:rsidRDefault="00C553A3" w:rsidP="00C553A3">
      <w:pPr>
        <w:spacing w:line="520" w:lineRule="exact"/>
        <w:ind w:firstLineChars="500" w:firstLine="1570"/>
        <w:rPr>
          <w:rFonts w:ascii="仿宋_GB2312" w:hAnsi="仿宋_GB2312" w:cs="仿宋_GB2312"/>
          <w:szCs w:val="32"/>
        </w:rPr>
      </w:pPr>
      <w:r>
        <w:rPr>
          <w:rFonts w:ascii="仿宋_GB2312" w:hAnsi="仿宋_GB2312" w:cs="仿宋_GB2312" w:hint="eastAsia"/>
          <w:szCs w:val="32"/>
        </w:rPr>
        <w:t>2.上海市数据中心产业绿贷产品组合</w:t>
      </w:r>
    </w:p>
    <w:p w:rsidR="00C553A3" w:rsidRDefault="00C553A3" w:rsidP="00C553A3">
      <w:pPr>
        <w:spacing w:line="520" w:lineRule="exact"/>
        <w:rPr>
          <w:b/>
          <w:bCs/>
          <w:szCs w:val="32"/>
        </w:rPr>
      </w:pPr>
    </w:p>
    <w:p w:rsidR="00C553A3" w:rsidRDefault="00C553A3" w:rsidP="00C553A3">
      <w:pPr>
        <w:spacing w:line="520" w:lineRule="exact"/>
        <w:rPr>
          <w:b/>
          <w:bCs/>
          <w:szCs w:val="32"/>
        </w:rPr>
      </w:pPr>
    </w:p>
    <w:p w:rsidR="00C553A3" w:rsidRDefault="00C553A3" w:rsidP="00C553A3">
      <w:pPr>
        <w:spacing w:line="520" w:lineRule="exact"/>
        <w:rPr>
          <w:b/>
          <w:bCs/>
          <w:szCs w:val="32"/>
        </w:rPr>
      </w:pPr>
    </w:p>
    <w:p w:rsidR="00C553A3" w:rsidRDefault="00C553A3" w:rsidP="00C553A3">
      <w:pPr>
        <w:spacing w:line="520" w:lineRule="exact"/>
        <w:rPr>
          <w:b/>
          <w:bCs/>
          <w:szCs w:val="32"/>
        </w:rPr>
      </w:pPr>
    </w:p>
    <w:p w:rsidR="00C553A3" w:rsidRDefault="00C553A3" w:rsidP="00C553A3">
      <w:pPr>
        <w:spacing w:line="520" w:lineRule="exact"/>
        <w:rPr>
          <w:b/>
          <w:bCs/>
          <w:szCs w:val="32"/>
        </w:rPr>
      </w:pPr>
    </w:p>
    <w:p w:rsidR="00C553A3" w:rsidRDefault="00C553A3" w:rsidP="00C553A3">
      <w:pPr>
        <w:spacing w:line="520" w:lineRule="exact"/>
        <w:rPr>
          <w:b/>
          <w:bCs/>
          <w:szCs w:val="32"/>
        </w:rPr>
      </w:pPr>
    </w:p>
    <w:p w:rsidR="00C553A3" w:rsidRDefault="00C553A3" w:rsidP="00C553A3">
      <w:pPr>
        <w:spacing w:line="520" w:lineRule="exact"/>
        <w:rPr>
          <w:b/>
          <w:bCs/>
          <w:szCs w:val="32"/>
        </w:rPr>
      </w:pPr>
    </w:p>
    <w:p w:rsidR="00C553A3" w:rsidRDefault="00C553A3" w:rsidP="00C553A3">
      <w:pPr>
        <w:spacing w:line="520" w:lineRule="exact"/>
        <w:rPr>
          <w:b/>
          <w:bCs/>
          <w:szCs w:val="32"/>
        </w:rPr>
      </w:pPr>
    </w:p>
    <w:p w:rsidR="00C553A3" w:rsidRDefault="00C553A3" w:rsidP="00C553A3">
      <w:pPr>
        <w:spacing w:line="520" w:lineRule="exact"/>
        <w:rPr>
          <w:b/>
          <w:bCs/>
          <w:szCs w:val="32"/>
        </w:rPr>
      </w:pPr>
    </w:p>
    <w:p w:rsidR="00C553A3" w:rsidRDefault="00C553A3" w:rsidP="00C553A3">
      <w:pPr>
        <w:spacing w:line="520" w:lineRule="exact"/>
        <w:rPr>
          <w:b/>
          <w:bCs/>
          <w:szCs w:val="32"/>
        </w:rPr>
      </w:pPr>
    </w:p>
    <w:p w:rsidR="00C553A3" w:rsidRDefault="00C553A3" w:rsidP="00C553A3">
      <w:pPr>
        <w:spacing w:line="520" w:lineRule="exact"/>
        <w:rPr>
          <w:b/>
          <w:bCs/>
          <w:szCs w:val="32"/>
        </w:rPr>
      </w:pPr>
    </w:p>
    <w:p w:rsidR="00C553A3" w:rsidRDefault="00C553A3" w:rsidP="00C553A3">
      <w:pPr>
        <w:spacing w:line="520" w:lineRule="exact"/>
        <w:rPr>
          <w:b/>
          <w:bCs/>
          <w:szCs w:val="32"/>
        </w:rPr>
      </w:pPr>
    </w:p>
    <w:p w:rsidR="00C553A3" w:rsidRDefault="00C553A3" w:rsidP="00C553A3">
      <w:pPr>
        <w:spacing w:line="520" w:lineRule="exact"/>
        <w:rPr>
          <w:b/>
          <w:bCs/>
          <w:szCs w:val="32"/>
        </w:rPr>
      </w:pPr>
    </w:p>
    <w:p w:rsidR="00C553A3" w:rsidRDefault="00C553A3" w:rsidP="00C553A3">
      <w:pPr>
        <w:spacing w:line="520" w:lineRule="exact"/>
        <w:rPr>
          <w:b/>
          <w:bCs/>
          <w:szCs w:val="32"/>
        </w:rPr>
      </w:pPr>
    </w:p>
    <w:p w:rsidR="00C553A3" w:rsidRDefault="00C553A3" w:rsidP="00C553A3">
      <w:pPr>
        <w:spacing w:line="520" w:lineRule="exact"/>
        <w:rPr>
          <w:rFonts w:ascii="黑体" w:eastAsia="黑体" w:hAnsi="黑体" w:cs="黑体"/>
          <w:szCs w:val="32"/>
        </w:rPr>
      </w:pPr>
      <w:r>
        <w:rPr>
          <w:rFonts w:ascii="黑体" w:eastAsia="黑体" w:hAnsi="黑体" w:cs="黑体" w:hint="eastAsia"/>
          <w:szCs w:val="32"/>
        </w:rPr>
        <w:t>附件1</w:t>
      </w:r>
    </w:p>
    <w:p w:rsidR="00C553A3" w:rsidRDefault="00C553A3" w:rsidP="00C553A3">
      <w:pPr>
        <w:spacing w:line="520" w:lineRule="exact"/>
        <w:jc w:val="center"/>
        <w:rPr>
          <w:rFonts w:ascii="方正小标宋简体" w:eastAsia="方正小标宋简体" w:hAnsi="方正小标宋简体" w:cs="方正小标宋简体"/>
          <w:spacing w:val="0"/>
          <w:sz w:val="36"/>
          <w:szCs w:val="36"/>
        </w:rPr>
      </w:pPr>
      <w:r>
        <w:rPr>
          <w:rFonts w:ascii="方正小标宋简体" w:eastAsia="方正小标宋简体" w:hAnsi="方正小标宋简体" w:cs="方正小标宋简体" w:hint="eastAsia"/>
          <w:spacing w:val="0"/>
          <w:sz w:val="36"/>
          <w:szCs w:val="36"/>
        </w:rPr>
        <w:lastRenderedPageBreak/>
        <w:t>上海市数据中心节能技术目录(第一批)</w:t>
      </w:r>
    </w:p>
    <w:p w:rsidR="00C553A3" w:rsidRDefault="00C553A3" w:rsidP="00C553A3">
      <w:pPr>
        <w:spacing w:line="200" w:lineRule="exact"/>
        <w:jc w:val="center"/>
        <w:rPr>
          <w:rFonts w:ascii="方正小标宋简体" w:eastAsia="方正小标宋简体" w:hAnsi="方正小标宋简体" w:cs="方正小标宋简体"/>
          <w:spacing w:val="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2693"/>
        <w:gridCol w:w="3460"/>
        <w:gridCol w:w="701"/>
      </w:tblGrid>
      <w:tr w:rsidR="00C553A3" w:rsidTr="0078353A">
        <w:trPr>
          <w:trHeight w:val="454"/>
          <w:tblHeader/>
          <w:jc w:val="center"/>
        </w:trPr>
        <w:tc>
          <w:tcPr>
            <w:tcW w:w="1668"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b/>
                <w:color w:val="000000"/>
                <w:sz w:val="24"/>
                <w:szCs w:val="24"/>
              </w:rPr>
            </w:pPr>
            <w:r>
              <w:rPr>
                <w:rFonts w:ascii="仿宋_GB2312" w:hAnsi="仿宋_GB2312" w:cs="仿宋_GB2312" w:hint="eastAsia"/>
                <w:b/>
                <w:color w:val="000000"/>
                <w:sz w:val="24"/>
                <w:szCs w:val="24"/>
              </w:rPr>
              <w:t>技术类型</w:t>
            </w:r>
          </w:p>
        </w:tc>
        <w:tc>
          <w:tcPr>
            <w:tcW w:w="2693"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b/>
                <w:color w:val="000000"/>
                <w:sz w:val="24"/>
                <w:szCs w:val="24"/>
              </w:rPr>
            </w:pPr>
            <w:r>
              <w:rPr>
                <w:rFonts w:ascii="仿宋_GB2312" w:hAnsi="仿宋_GB2312" w:cs="仿宋_GB2312" w:hint="eastAsia"/>
                <w:b/>
                <w:color w:val="000000"/>
                <w:sz w:val="24"/>
                <w:szCs w:val="24"/>
              </w:rPr>
              <w:t>推选原因</w:t>
            </w:r>
          </w:p>
        </w:tc>
        <w:tc>
          <w:tcPr>
            <w:tcW w:w="3460"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b/>
                <w:color w:val="000000"/>
                <w:sz w:val="24"/>
                <w:szCs w:val="24"/>
              </w:rPr>
            </w:pPr>
            <w:r>
              <w:rPr>
                <w:rFonts w:ascii="仿宋_GB2312" w:hAnsi="仿宋_GB2312" w:cs="仿宋_GB2312" w:hint="eastAsia"/>
                <w:b/>
                <w:color w:val="000000"/>
                <w:sz w:val="24"/>
                <w:szCs w:val="24"/>
              </w:rPr>
              <w:t>技术项目</w:t>
            </w:r>
          </w:p>
        </w:tc>
        <w:tc>
          <w:tcPr>
            <w:tcW w:w="701"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b/>
                <w:color w:val="000000"/>
                <w:sz w:val="24"/>
                <w:szCs w:val="24"/>
              </w:rPr>
            </w:pPr>
            <w:r>
              <w:rPr>
                <w:rFonts w:ascii="仿宋_GB2312" w:hAnsi="仿宋_GB2312" w:cs="仿宋_GB2312" w:hint="eastAsia"/>
                <w:b/>
                <w:color w:val="000000"/>
                <w:sz w:val="24"/>
                <w:szCs w:val="24"/>
              </w:rPr>
              <w:t>分级</w:t>
            </w:r>
          </w:p>
        </w:tc>
      </w:tr>
      <w:tr w:rsidR="00C553A3" w:rsidTr="0078353A">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市电直供</w:t>
            </w:r>
          </w:p>
        </w:tc>
        <w:tc>
          <w:tcPr>
            <w:tcW w:w="2693"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跳过UPS，提高供电效率</w:t>
            </w:r>
          </w:p>
        </w:tc>
        <w:tc>
          <w:tcPr>
            <w:tcW w:w="3460"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市电直供+UPS/HVDC高可靠节能供电技术</w:t>
            </w:r>
          </w:p>
        </w:tc>
        <w:tc>
          <w:tcPr>
            <w:tcW w:w="701"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C553A3" w:rsidTr="0078353A">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直流供电</w:t>
            </w:r>
          </w:p>
        </w:tc>
        <w:tc>
          <w:tcPr>
            <w:tcW w:w="2693"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利用直流供电减少不间断电源系统损耗</w:t>
            </w:r>
          </w:p>
        </w:tc>
        <w:tc>
          <w:tcPr>
            <w:tcW w:w="3460"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通信用240V/336V直流供电技术</w:t>
            </w:r>
          </w:p>
        </w:tc>
        <w:tc>
          <w:tcPr>
            <w:tcW w:w="701"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C553A3" w:rsidTr="0078353A">
        <w:trPr>
          <w:trHeight w:val="452"/>
          <w:jc w:val="center"/>
        </w:trPr>
        <w:tc>
          <w:tcPr>
            <w:tcW w:w="1668"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模块休眠UPS</w:t>
            </w:r>
          </w:p>
        </w:tc>
        <w:tc>
          <w:tcPr>
            <w:tcW w:w="2693"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在部分负载下，通过模块休眠提高能效</w:t>
            </w:r>
          </w:p>
        </w:tc>
        <w:tc>
          <w:tcPr>
            <w:tcW w:w="3460"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高效模块化不间断电源、高效模块化UPS技术</w:t>
            </w:r>
          </w:p>
        </w:tc>
        <w:tc>
          <w:tcPr>
            <w:tcW w:w="701"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C553A3" w:rsidTr="0078353A">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磁悬浮离心式空调主机</w:t>
            </w:r>
          </w:p>
        </w:tc>
        <w:tc>
          <w:tcPr>
            <w:tcW w:w="2693"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在小压比条件及部分负载条件下效率高</w:t>
            </w:r>
          </w:p>
        </w:tc>
        <w:tc>
          <w:tcPr>
            <w:tcW w:w="3460"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低压比优化设计磁悬浮离心式压缩机智能控制技术等</w:t>
            </w:r>
          </w:p>
        </w:tc>
        <w:tc>
          <w:tcPr>
            <w:tcW w:w="701"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C553A3" w:rsidTr="0078353A">
        <w:trPr>
          <w:trHeight w:val="418"/>
          <w:jc w:val="center"/>
        </w:trPr>
        <w:tc>
          <w:tcPr>
            <w:tcW w:w="1668"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热管冷却技术及空调</w:t>
            </w:r>
          </w:p>
        </w:tc>
        <w:tc>
          <w:tcPr>
            <w:tcW w:w="2693"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利用液体输配提高输配效率</w:t>
            </w:r>
          </w:p>
        </w:tc>
        <w:tc>
          <w:tcPr>
            <w:tcW w:w="3460"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高效热管列间空调、热管背板冷却技术等</w:t>
            </w:r>
          </w:p>
        </w:tc>
        <w:tc>
          <w:tcPr>
            <w:tcW w:w="701"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C553A3" w:rsidTr="0078353A">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芯片冷却</w:t>
            </w:r>
          </w:p>
        </w:tc>
        <w:tc>
          <w:tcPr>
            <w:tcW w:w="2693"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直接以芯片接触冷却方式提高制冷效率</w:t>
            </w:r>
          </w:p>
        </w:tc>
        <w:tc>
          <w:tcPr>
            <w:tcW w:w="3460"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数据中心液/气双通道精准高效致冷系统关键技术</w:t>
            </w:r>
          </w:p>
        </w:tc>
        <w:tc>
          <w:tcPr>
            <w:tcW w:w="701"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C553A3" w:rsidTr="0078353A">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液冷技术</w:t>
            </w:r>
          </w:p>
        </w:tc>
        <w:tc>
          <w:tcPr>
            <w:tcW w:w="2693"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以液态直接与服务器换热，提高制冷效率</w:t>
            </w:r>
          </w:p>
        </w:tc>
        <w:tc>
          <w:tcPr>
            <w:tcW w:w="3460"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喷淋液冷、氟化冷却、数据中心用浸没式液冷技术等</w:t>
            </w:r>
          </w:p>
        </w:tc>
        <w:tc>
          <w:tcPr>
            <w:tcW w:w="701"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C553A3" w:rsidTr="0078353A">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氟泵空调</w:t>
            </w:r>
          </w:p>
        </w:tc>
        <w:tc>
          <w:tcPr>
            <w:tcW w:w="2693"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单机器自身形成高效制冷，在机房部分投产条件下节能效果好</w:t>
            </w:r>
          </w:p>
        </w:tc>
        <w:tc>
          <w:tcPr>
            <w:tcW w:w="3460"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氟泵自然冷却技术</w:t>
            </w:r>
          </w:p>
        </w:tc>
        <w:tc>
          <w:tcPr>
            <w:tcW w:w="701"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C553A3" w:rsidTr="0078353A">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微模块数据</w:t>
            </w:r>
          </w:p>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中心</w:t>
            </w:r>
          </w:p>
        </w:tc>
        <w:tc>
          <w:tcPr>
            <w:tcW w:w="2693"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优化气流组织，提高不间断电源效率</w:t>
            </w:r>
          </w:p>
        </w:tc>
        <w:tc>
          <w:tcPr>
            <w:tcW w:w="3460"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微模块数据中心技术、基于热管技术的模块化数据中心等</w:t>
            </w:r>
          </w:p>
        </w:tc>
        <w:tc>
          <w:tcPr>
            <w:tcW w:w="701"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2</w:t>
            </w:r>
          </w:p>
        </w:tc>
      </w:tr>
      <w:tr w:rsidR="00C553A3" w:rsidTr="0078353A">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传统空调的</w:t>
            </w:r>
          </w:p>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优化</w:t>
            </w:r>
          </w:p>
        </w:tc>
        <w:tc>
          <w:tcPr>
            <w:tcW w:w="2693"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对传统空调的局部优化</w:t>
            </w:r>
          </w:p>
        </w:tc>
        <w:tc>
          <w:tcPr>
            <w:tcW w:w="3460"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直流变频行级空调技术、变频离心式冷水机组、节能节水型冷却塔、蒸发冷却式冷水机组等</w:t>
            </w:r>
          </w:p>
        </w:tc>
        <w:tc>
          <w:tcPr>
            <w:tcW w:w="701"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2</w:t>
            </w:r>
          </w:p>
        </w:tc>
      </w:tr>
      <w:tr w:rsidR="00C553A3" w:rsidTr="0078353A">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高效变压器</w:t>
            </w:r>
          </w:p>
        </w:tc>
        <w:tc>
          <w:tcPr>
            <w:tcW w:w="2693"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提高变压器效率，降低损耗</w:t>
            </w:r>
          </w:p>
        </w:tc>
        <w:tc>
          <w:tcPr>
            <w:tcW w:w="3460"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SCB15型高效变压器</w:t>
            </w:r>
          </w:p>
        </w:tc>
        <w:tc>
          <w:tcPr>
            <w:tcW w:w="701"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2</w:t>
            </w:r>
          </w:p>
        </w:tc>
      </w:tr>
      <w:tr w:rsidR="00C553A3" w:rsidTr="0078353A">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分布式供能</w:t>
            </w:r>
          </w:p>
        </w:tc>
        <w:tc>
          <w:tcPr>
            <w:tcW w:w="2693"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实现能源梯级利用，综合能效利用效率高</w:t>
            </w:r>
          </w:p>
        </w:tc>
        <w:tc>
          <w:tcPr>
            <w:tcW w:w="3460"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燃气发电，排出的余热回收利用</w:t>
            </w:r>
          </w:p>
        </w:tc>
        <w:tc>
          <w:tcPr>
            <w:tcW w:w="701"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2</w:t>
            </w:r>
          </w:p>
        </w:tc>
      </w:tr>
      <w:tr w:rsidR="00C553A3" w:rsidTr="0078353A">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集群系统</w:t>
            </w:r>
          </w:p>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综合调度技术</w:t>
            </w:r>
          </w:p>
        </w:tc>
        <w:tc>
          <w:tcPr>
            <w:tcW w:w="2693"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制冷工况下，协调控制设备运行提高系统能效</w:t>
            </w:r>
          </w:p>
        </w:tc>
        <w:tc>
          <w:tcPr>
            <w:tcW w:w="3460"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采用负荷预测及群控优化技术，提升系统能效</w:t>
            </w:r>
          </w:p>
        </w:tc>
        <w:tc>
          <w:tcPr>
            <w:tcW w:w="701"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2</w:t>
            </w:r>
          </w:p>
        </w:tc>
      </w:tr>
      <w:tr w:rsidR="00C553A3" w:rsidTr="0078353A">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蓄冷技术</w:t>
            </w:r>
          </w:p>
        </w:tc>
        <w:tc>
          <w:tcPr>
            <w:tcW w:w="2693"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蓄冷调峰</w:t>
            </w:r>
          </w:p>
        </w:tc>
        <w:tc>
          <w:tcPr>
            <w:tcW w:w="3460"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水蓄冷技术、相变储能材料等</w:t>
            </w:r>
          </w:p>
        </w:tc>
        <w:tc>
          <w:tcPr>
            <w:tcW w:w="701"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3</w:t>
            </w:r>
          </w:p>
        </w:tc>
      </w:tr>
      <w:tr w:rsidR="00C553A3" w:rsidTr="0078353A">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蒸发冷却</w:t>
            </w:r>
          </w:p>
        </w:tc>
        <w:tc>
          <w:tcPr>
            <w:tcW w:w="2693"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少量增加免费供冷</w:t>
            </w:r>
          </w:p>
        </w:tc>
        <w:tc>
          <w:tcPr>
            <w:tcW w:w="3460"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间接蒸发空调、模块化间接蒸发冷却机组等</w:t>
            </w:r>
          </w:p>
        </w:tc>
        <w:tc>
          <w:tcPr>
            <w:tcW w:w="701"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3</w:t>
            </w:r>
          </w:p>
        </w:tc>
      </w:tr>
      <w:tr w:rsidR="00C553A3" w:rsidTr="0078353A">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光伏</w:t>
            </w:r>
          </w:p>
        </w:tc>
        <w:tc>
          <w:tcPr>
            <w:tcW w:w="2693"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pacing w:val="-11"/>
                <w:sz w:val="24"/>
                <w:szCs w:val="24"/>
              </w:rPr>
              <w:t>少量光伏提供可再生能源</w:t>
            </w:r>
          </w:p>
        </w:tc>
        <w:tc>
          <w:tcPr>
            <w:tcW w:w="3460"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分布式光伏发电技术</w:t>
            </w:r>
          </w:p>
        </w:tc>
        <w:tc>
          <w:tcPr>
            <w:tcW w:w="701"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3</w:t>
            </w:r>
          </w:p>
        </w:tc>
      </w:tr>
      <w:tr w:rsidR="00C553A3" w:rsidTr="0078353A">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水处理</w:t>
            </w:r>
          </w:p>
        </w:tc>
        <w:tc>
          <w:tcPr>
            <w:tcW w:w="2693"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电磁波循环冷却水处理</w:t>
            </w:r>
          </w:p>
        </w:tc>
        <w:tc>
          <w:tcPr>
            <w:tcW w:w="3460"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r>
              <w:rPr>
                <w:rFonts w:ascii="仿宋_GB2312" w:hAnsi="仿宋_GB2312" w:cs="仿宋_GB2312" w:hint="eastAsia"/>
                <w:color w:val="000000"/>
                <w:sz w:val="24"/>
                <w:szCs w:val="24"/>
              </w:rPr>
              <w:t>工业循环冷却水处理技术</w:t>
            </w:r>
          </w:p>
        </w:tc>
        <w:tc>
          <w:tcPr>
            <w:tcW w:w="701"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3</w:t>
            </w:r>
          </w:p>
        </w:tc>
      </w:tr>
    </w:tbl>
    <w:p w:rsidR="00C553A3" w:rsidRDefault="00C553A3" w:rsidP="00C553A3">
      <w:pPr>
        <w:spacing w:line="520" w:lineRule="exact"/>
        <w:rPr>
          <w:rFonts w:ascii="黑体" w:eastAsia="黑体" w:hAnsi="黑体" w:cs="黑体"/>
          <w:spacing w:val="0"/>
          <w:szCs w:val="32"/>
        </w:rPr>
      </w:pPr>
      <w:r>
        <w:rPr>
          <w:rFonts w:ascii="黑体" w:eastAsia="黑体" w:hAnsi="黑体" w:cs="黑体" w:hint="eastAsia"/>
          <w:spacing w:val="0"/>
          <w:szCs w:val="32"/>
        </w:rPr>
        <w:t>附件2</w:t>
      </w:r>
    </w:p>
    <w:p w:rsidR="00C553A3" w:rsidRDefault="00C553A3" w:rsidP="00C553A3">
      <w:pPr>
        <w:spacing w:line="520" w:lineRule="exact"/>
        <w:jc w:val="center"/>
        <w:rPr>
          <w:rFonts w:ascii="方正小标宋简体" w:eastAsia="方正小标宋简体" w:hAnsi="方正小标宋简体" w:cs="方正小标宋简体"/>
          <w:spacing w:val="0"/>
          <w:sz w:val="36"/>
          <w:szCs w:val="36"/>
        </w:rPr>
      </w:pPr>
      <w:r>
        <w:rPr>
          <w:rFonts w:ascii="方正小标宋简体" w:eastAsia="方正小标宋简体" w:hAnsi="方正小标宋简体" w:cs="方正小标宋简体" w:hint="eastAsia"/>
          <w:spacing w:val="0"/>
          <w:sz w:val="36"/>
          <w:szCs w:val="36"/>
        </w:rPr>
        <w:lastRenderedPageBreak/>
        <w:t>上海市数据中心产业绿贷产品组合</w:t>
      </w:r>
    </w:p>
    <w:p w:rsidR="00C553A3" w:rsidRDefault="00C553A3" w:rsidP="00C553A3">
      <w:pPr>
        <w:spacing w:line="200" w:lineRule="exact"/>
        <w:jc w:val="center"/>
        <w:rPr>
          <w:rFonts w:ascii="方正小标宋简体" w:eastAsia="方正小标宋简体" w:hAnsi="方正小标宋简体" w:cs="方正小标宋简体"/>
          <w:spacing w:val="0"/>
          <w:sz w:val="36"/>
          <w:szCs w:val="36"/>
        </w:rPr>
      </w:pPr>
    </w:p>
    <w:tbl>
      <w:tblPr>
        <w:tblW w:w="0" w:type="auto"/>
        <w:jc w:val="center"/>
        <w:tblLayout w:type="fixed"/>
        <w:tblLook w:val="0000"/>
      </w:tblPr>
      <w:tblGrid>
        <w:gridCol w:w="1762"/>
        <w:gridCol w:w="3177"/>
        <w:gridCol w:w="828"/>
        <w:gridCol w:w="2989"/>
      </w:tblGrid>
      <w:tr w:rsidR="00C553A3" w:rsidTr="0078353A">
        <w:trPr>
          <w:trHeight w:val="425"/>
          <w:tblHeader/>
          <w:jc w:val="center"/>
        </w:trPr>
        <w:tc>
          <w:tcPr>
            <w:tcW w:w="1762"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b/>
                <w:color w:val="000000"/>
                <w:sz w:val="24"/>
                <w:szCs w:val="24"/>
              </w:rPr>
            </w:pPr>
            <w:r>
              <w:rPr>
                <w:rFonts w:ascii="仿宋_GB2312" w:hAnsi="仿宋_GB2312" w:cs="仿宋_GB2312" w:hint="eastAsia"/>
                <w:color w:val="000000"/>
                <w:sz w:val="24"/>
                <w:szCs w:val="24"/>
              </w:rPr>
              <w:t xml:space="preserve">　</w:t>
            </w:r>
            <w:r>
              <w:rPr>
                <w:rFonts w:ascii="仿宋_GB2312" w:hAnsi="仿宋_GB2312" w:cs="仿宋_GB2312" w:hint="eastAsia"/>
                <w:b/>
                <w:color w:val="000000"/>
                <w:sz w:val="24"/>
                <w:szCs w:val="24"/>
              </w:rPr>
              <w:t>系统名称</w:t>
            </w:r>
          </w:p>
        </w:tc>
        <w:tc>
          <w:tcPr>
            <w:tcW w:w="3177" w:type="dxa"/>
            <w:tcBorders>
              <w:top w:val="single" w:sz="4" w:space="0" w:color="auto"/>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b/>
                <w:color w:val="000000"/>
                <w:sz w:val="24"/>
                <w:szCs w:val="24"/>
              </w:rPr>
            </w:pPr>
            <w:r>
              <w:rPr>
                <w:rFonts w:ascii="仿宋_GB2312" w:hAnsi="仿宋_GB2312" w:cs="仿宋_GB2312" w:hint="eastAsia"/>
                <w:b/>
                <w:color w:val="000000"/>
                <w:sz w:val="24"/>
                <w:szCs w:val="24"/>
              </w:rPr>
              <w:t>技术类型</w:t>
            </w:r>
          </w:p>
        </w:tc>
        <w:tc>
          <w:tcPr>
            <w:tcW w:w="828" w:type="dxa"/>
            <w:tcBorders>
              <w:top w:val="single" w:sz="4" w:space="0" w:color="auto"/>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b/>
                <w:color w:val="000000"/>
                <w:sz w:val="24"/>
                <w:szCs w:val="24"/>
              </w:rPr>
            </w:pPr>
            <w:r>
              <w:rPr>
                <w:rFonts w:ascii="仿宋_GB2312" w:hAnsi="仿宋_GB2312" w:cs="仿宋_GB2312" w:hint="eastAsia"/>
                <w:b/>
                <w:color w:val="000000"/>
                <w:sz w:val="24"/>
                <w:szCs w:val="24"/>
              </w:rPr>
              <w:t>分级</w:t>
            </w:r>
          </w:p>
        </w:tc>
        <w:tc>
          <w:tcPr>
            <w:tcW w:w="2989" w:type="dxa"/>
            <w:tcBorders>
              <w:top w:val="single" w:sz="4" w:space="0" w:color="auto"/>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b/>
                <w:color w:val="000000"/>
                <w:sz w:val="24"/>
                <w:szCs w:val="24"/>
              </w:rPr>
            </w:pPr>
            <w:r>
              <w:rPr>
                <w:rFonts w:ascii="仿宋_GB2312" w:hAnsi="仿宋_GB2312" w:cs="仿宋_GB2312" w:hint="eastAsia"/>
                <w:b/>
                <w:color w:val="000000"/>
                <w:sz w:val="24"/>
                <w:szCs w:val="24"/>
              </w:rPr>
              <w:t>建议贷款利率下浮数值（%)</w:t>
            </w:r>
          </w:p>
        </w:tc>
      </w:tr>
      <w:tr w:rsidR="00C553A3" w:rsidTr="0078353A">
        <w:trPr>
          <w:trHeight w:val="270"/>
          <w:jc w:val="center"/>
        </w:trPr>
        <w:tc>
          <w:tcPr>
            <w:tcW w:w="1762" w:type="dxa"/>
            <w:vMerge w:val="restart"/>
            <w:tcBorders>
              <w:top w:val="nil"/>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A（电源系统）</w:t>
            </w:r>
          </w:p>
        </w:tc>
        <w:tc>
          <w:tcPr>
            <w:tcW w:w="3177"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市电直供+高压直流</w:t>
            </w:r>
          </w:p>
        </w:tc>
        <w:tc>
          <w:tcPr>
            <w:tcW w:w="828"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c>
          <w:tcPr>
            <w:tcW w:w="2989"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0.3-0.5%</w:t>
            </w:r>
          </w:p>
        </w:tc>
      </w:tr>
      <w:tr w:rsidR="00C553A3" w:rsidTr="0078353A">
        <w:trPr>
          <w:trHeight w:val="134"/>
          <w:jc w:val="center"/>
        </w:trPr>
        <w:tc>
          <w:tcPr>
            <w:tcW w:w="1762" w:type="dxa"/>
            <w:vMerge/>
            <w:tcBorders>
              <w:top w:val="nil"/>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p>
        </w:tc>
        <w:tc>
          <w:tcPr>
            <w:tcW w:w="3177"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市电直供+模块休眠UPS</w:t>
            </w:r>
          </w:p>
        </w:tc>
        <w:tc>
          <w:tcPr>
            <w:tcW w:w="828"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c>
          <w:tcPr>
            <w:tcW w:w="2989"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0.3-0.5%</w:t>
            </w:r>
          </w:p>
        </w:tc>
      </w:tr>
      <w:tr w:rsidR="00C553A3" w:rsidTr="0078353A">
        <w:trPr>
          <w:trHeight w:val="270"/>
          <w:jc w:val="center"/>
        </w:trPr>
        <w:tc>
          <w:tcPr>
            <w:tcW w:w="1762" w:type="dxa"/>
            <w:vMerge/>
            <w:tcBorders>
              <w:top w:val="nil"/>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p>
        </w:tc>
        <w:tc>
          <w:tcPr>
            <w:tcW w:w="3177" w:type="dxa"/>
            <w:tcBorders>
              <w:top w:val="single" w:sz="4" w:space="0" w:color="auto"/>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高压直流+模块休眠UPS</w:t>
            </w:r>
          </w:p>
        </w:tc>
        <w:tc>
          <w:tcPr>
            <w:tcW w:w="828" w:type="dxa"/>
            <w:tcBorders>
              <w:top w:val="single" w:sz="4" w:space="0" w:color="auto"/>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2</w:t>
            </w:r>
          </w:p>
        </w:tc>
        <w:tc>
          <w:tcPr>
            <w:tcW w:w="2989" w:type="dxa"/>
            <w:tcBorders>
              <w:top w:val="single" w:sz="4" w:space="0" w:color="auto"/>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0.2-0.3%</w:t>
            </w:r>
          </w:p>
        </w:tc>
      </w:tr>
      <w:tr w:rsidR="00C553A3" w:rsidTr="0078353A">
        <w:trPr>
          <w:trHeight w:val="270"/>
          <w:jc w:val="center"/>
        </w:trPr>
        <w:tc>
          <w:tcPr>
            <w:tcW w:w="1762" w:type="dxa"/>
            <w:vMerge/>
            <w:tcBorders>
              <w:top w:val="nil"/>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p>
        </w:tc>
        <w:tc>
          <w:tcPr>
            <w:tcW w:w="3177"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两路高压直流</w:t>
            </w:r>
          </w:p>
        </w:tc>
        <w:tc>
          <w:tcPr>
            <w:tcW w:w="828"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2</w:t>
            </w:r>
          </w:p>
        </w:tc>
        <w:tc>
          <w:tcPr>
            <w:tcW w:w="2989"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0.2-0.3%</w:t>
            </w:r>
          </w:p>
        </w:tc>
      </w:tr>
      <w:tr w:rsidR="00C553A3" w:rsidTr="0078353A">
        <w:trPr>
          <w:trHeight w:val="270"/>
          <w:jc w:val="center"/>
        </w:trPr>
        <w:tc>
          <w:tcPr>
            <w:tcW w:w="1762" w:type="dxa"/>
            <w:vMerge/>
            <w:tcBorders>
              <w:top w:val="nil"/>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p>
        </w:tc>
        <w:tc>
          <w:tcPr>
            <w:tcW w:w="3177"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两路模块休眠UPS</w:t>
            </w:r>
          </w:p>
        </w:tc>
        <w:tc>
          <w:tcPr>
            <w:tcW w:w="828"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2</w:t>
            </w:r>
          </w:p>
        </w:tc>
        <w:tc>
          <w:tcPr>
            <w:tcW w:w="2989"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0.2-0.3%</w:t>
            </w:r>
          </w:p>
        </w:tc>
      </w:tr>
      <w:tr w:rsidR="00C553A3" w:rsidTr="0078353A">
        <w:trPr>
          <w:trHeight w:val="270"/>
          <w:jc w:val="center"/>
        </w:trPr>
        <w:tc>
          <w:tcPr>
            <w:tcW w:w="1762" w:type="dxa"/>
            <w:vMerge w:val="restart"/>
            <w:tcBorders>
              <w:top w:val="nil"/>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B（空调系统）</w:t>
            </w:r>
          </w:p>
        </w:tc>
        <w:tc>
          <w:tcPr>
            <w:tcW w:w="3177"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浸没式液冷制冷量占比≥25%</w:t>
            </w:r>
          </w:p>
        </w:tc>
        <w:tc>
          <w:tcPr>
            <w:tcW w:w="828"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c>
          <w:tcPr>
            <w:tcW w:w="2989"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C553A3" w:rsidTr="0078353A">
        <w:trPr>
          <w:trHeight w:val="270"/>
          <w:jc w:val="center"/>
        </w:trPr>
        <w:tc>
          <w:tcPr>
            <w:tcW w:w="1762" w:type="dxa"/>
            <w:vMerge/>
            <w:tcBorders>
              <w:top w:val="nil"/>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p>
        </w:tc>
        <w:tc>
          <w:tcPr>
            <w:tcW w:w="3177"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浸没式液冷制冷量占比≥15%</w:t>
            </w:r>
          </w:p>
        </w:tc>
        <w:tc>
          <w:tcPr>
            <w:tcW w:w="828"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c>
          <w:tcPr>
            <w:tcW w:w="2989"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0.5%</w:t>
            </w:r>
          </w:p>
        </w:tc>
      </w:tr>
      <w:tr w:rsidR="00C553A3" w:rsidTr="0078353A">
        <w:trPr>
          <w:trHeight w:val="270"/>
          <w:jc w:val="center"/>
        </w:trPr>
        <w:tc>
          <w:tcPr>
            <w:tcW w:w="1762" w:type="dxa"/>
            <w:vMerge/>
            <w:tcBorders>
              <w:top w:val="nil"/>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p>
        </w:tc>
        <w:tc>
          <w:tcPr>
            <w:tcW w:w="3177"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磁悬浮空调+芯片液冷</w:t>
            </w:r>
          </w:p>
        </w:tc>
        <w:tc>
          <w:tcPr>
            <w:tcW w:w="828"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c>
          <w:tcPr>
            <w:tcW w:w="2989"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0.3-0.5%</w:t>
            </w:r>
          </w:p>
        </w:tc>
      </w:tr>
      <w:tr w:rsidR="00C553A3" w:rsidTr="0078353A">
        <w:trPr>
          <w:trHeight w:val="270"/>
          <w:jc w:val="center"/>
        </w:trPr>
        <w:tc>
          <w:tcPr>
            <w:tcW w:w="1762" w:type="dxa"/>
            <w:vMerge/>
            <w:tcBorders>
              <w:top w:val="nil"/>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p>
        </w:tc>
        <w:tc>
          <w:tcPr>
            <w:tcW w:w="3177"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磁悬浮空调+热管冷却</w:t>
            </w:r>
          </w:p>
        </w:tc>
        <w:tc>
          <w:tcPr>
            <w:tcW w:w="828"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c>
          <w:tcPr>
            <w:tcW w:w="2989"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0.3-0.5%</w:t>
            </w:r>
          </w:p>
        </w:tc>
      </w:tr>
      <w:tr w:rsidR="00C553A3" w:rsidTr="0078353A">
        <w:trPr>
          <w:trHeight w:val="270"/>
          <w:jc w:val="center"/>
        </w:trPr>
        <w:tc>
          <w:tcPr>
            <w:tcW w:w="1762" w:type="dxa"/>
            <w:vMerge/>
            <w:tcBorders>
              <w:top w:val="nil"/>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p>
        </w:tc>
        <w:tc>
          <w:tcPr>
            <w:tcW w:w="3177"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磁悬浮空调+背板液冷</w:t>
            </w:r>
          </w:p>
        </w:tc>
        <w:tc>
          <w:tcPr>
            <w:tcW w:w="828"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c>
          <w:tcPr>
            <w:tcW w:w="2989"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0.3-0.5%</w:t>
            </w:r>
          </w:p>
        </w:tc>
      </w:tr>
      <w:tr w:rsidR="00C553A3" w:rsidTr="0078353A">
        <w:trPr>
          <w:trHeight w:val="270"/>
          <w:jc w:val="center"/>
        </w:trPr>
        <w:tc>
          <w:tcPr>
            <w:tcW w:w="1762" w:type="dxa"/>
            <w:vMerge/>
            <w:tcBorders>
              <w:top w:val="nil"/>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p>
        </w:tc>
        <w:tc>
          <w:tcPr>
            <w:tcW w:w="3177"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磁悬浮空调+芯片液冷</w:t>
            </w:r>
          </w:p>
        </w:tc>
        <w:tc>
          <w:tcPr>
            <w:tcW w:w="828"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c>
          <w:tcPr>
            <w:tcW w:w="2989"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0.3-0.5%</w:t>
            </w:r>
          </w:p>
        </w:tc>
      </w:tr>
      <w:tr w:rsidR="00C553A3" w:rsidTr="0078353A">
        <w:trPr>
          <w:trHeight w:val="270"/>
          <w:jc w:val="center"/>
        </w:trPr>
        <w:tc>
          <w:tcPr>
            <w:tcW w:w="1762" w:type="dxa"/>
            <w:vMerge/>
            <w:tcBorders>
              <w:top w:val="nil"/>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p>
        </w:tc>
        <w:tc>
          <w:tcPr>
            <w:tcW w:w="3177"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氟泵空调+微模块</w:t>
            </w:r>
          </w:p>
        </w:tc>
        <w:tc>
          <w:tcPr>
            <w:tcW w:w="828"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2</w:t>
            </w:r>
          </w:p>
        </w:tc>
        <w:tc>
          <w:tcPr>
            <w:tcW w:w="2989"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0.2-0.3%</w:t>
            </w:r>
          </w:p>
        </w:tc>
      </w:tr>
      <w:tr w:rsidR="00C553A3" w:rsidTr="0078353A">
        <w:trPr>
          <w:trHeight w:val="402"/>
          <w:jc w:val="center"/>
        </w:trPr>
        <w:tc>
          <w:tcPr>
            <w:tcW w:w="1762" w:type="dxa"/>
            <w:vMerge/>
            <w:tcBorders>
              <w:top w:val="nil"/>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p>
        </w:tc>
        <w:tc>
          <w:tcPr>
            <w:tcW w:w="3177"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磁悬浮空调+直流变频行级</w:t>
            </w:r>
          </w:p>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空调等技术</w:t>
            </w:r>
          </w:p>
        </w:tc>
        <w:tc>
          <w:tcPr>
            <w:tcW w:w="828"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2</w:t>
            </w:r>
          </w:p>
        </w:tc>
        <w:tc>
          <w:tcPr>
            <w:tcW w:w="2989"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0.2-0.3%</w:t>
            </w:r>
          </w:p>
        </w:tc>
      </w:tr>
      <w:tr w:rsidR="00C553A3" w:rsidTr="0078353A">
        <w:trPr>
          <w:trHeight w:val="152"/>
          <w:jc w:val="center"/>
        </w:trPr>
        <w:tc>
          <w:tcPr>
            <w:tcW w:w="1762" w:type="dxa"/>
            <w:vMerge/>
            <w:tcBorders>
              <w:top w:val="nil"/>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p>
        </w:tc>
        <w:tc>
          <w:tcPr>
            <w:tcW w:w="3177" w:type="dxa"/>
            <w:tcBorders>
              <w:top w:val="single" w:sz="4" w:space="0" w:color="auto"/>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磁悬浮空调+集群系统综合</w:t>
            </w:r>
          </w:p>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调度技术</w:t>
            </w:r>
          </w:p>
        </w:tc>
        <w:tc>
          <w:tcPr>
            <w:tcW w:w="828" w:type="dxa"/>
            <w:tcBorders>
              <w:top w:val="single" w:sz="4" w:space="0" w:color="auto"/>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2</w:t>
            </w:r>
          </w:p>
        </w:tc>
        <w:tc>
          <w:tcPr>
            <w:tcW w:w="2989" w:type="dxa"/>
            <w:tcBorders>
              <w:top w:val="single" w:sz="4" w:space="0" w:color="auto"/>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0.2-0.3%</w:t>
            </w:r>
          </w:p>
        </w:tc>
      </w:tr>
      <w:tr w:rsidR="00C553A3" w:rsidTr="0078353A">
        <w:trPr>
          <w:trHeight w:val="270"/>
          <w:jc w:val="center"/>
        </w:trPr>
        <w:tc>
          <w:tcPr>
            <w:tcW w:w="1762" w:type="dxa"/>
            <w:vMerge/>
            <w:tcBorders>
              <w:top w:val="nil"/>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p>
        </w:tc>
        <w:tc>
          <w:tcPr>
            <w:tcW w:w="3177"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蒸发冷却</w:t>
            </w:r>
          </w:p>
        </w:tc>
        <w:tc>
          <w:tcPr>
            <w:tcW w:w="828"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3</w:t>
            </w:r>
          </w:p>
        </w:tc>
        <w:tc>
          <w:tcPr>
            <w:tcW w:w="2989"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0.1-0.2%</w:t>
            </w:r>
          </w:p>
        </w:tc>
      </w:tr>
      <w:tr w:rsidR="00C553A3" w:rsidTr="0078353A">
        <w:trPr>
          <w:trHeight w:val="270"/>
          <w:jc w:val="center"/>
        </w:trPr>
        <w:tc>
          <w:tcPr>
            <w:tcW w:w="1762" w:type="dxa"/>
            <w:vMerge w:val="restart"/>
            <w:tcBorders>
              <w:top w:val="nil"/>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C（蓄能）</w:t>
            </w:r>
          </w:p>
        </w:tc>
        <w:tc>
          <w:tcPr>
            <w:tcW w:w="3177"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蓄电调峰</w:t>
            </w:r>
          </w:p>
        </w:tc>
        <w:tc>
          <w:tcPr>
            <w:tcW w:w="828"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3</w:t>
            </w:r>
          </w:p>
        </w:tc>
        <w:tc>
          <w:tcPr>
            <w:tcW w:w="2989"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0.1-0.2%</w:t>
            </w:r>
          </w:p>
        </w:tc>
      </w:tr>
      <w:tr w:rsidR="00C553A3" w:rsidTr="0078353A">
        <w:trPr>
          <w:trHeight w:val="270"/>
          <w:jc w:val="center"/>
        </w:trPr>
        <w:tc>
          <w:tcPr>
            <w:tcW w:w="1762" w:type="dxa"/>
            <w:vMerge/>
            <w:tcBorders>
              <w:top w:val="nil"/>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p>
        </w:tc>
        <w:tc>
          <w:tcPr>
            <w:tcW w:w="3177"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水蓄冷调峰</w:t>
            </w:r>
          </w:p>
        </w:tc>
        <w:tc>
          <w:tcPr>
            <w:tcW w:w="828"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3</w:t>
            </w:r>
          </w:p>
        </w:tc>
        <w:tc>
          <w:tcPr>
            <w:tcW w:w="2989"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0.1-0.2%</w:t>
            </w:r>
          </w:p>
        </w:tc>
      </w:tr>
      <w:tr w:rsidR="00C553A3" w:rsidTr="0078353A">
        <w:trPr>
          <w:trHeight w:val="270"/>
          <w:jc w:val="center"/>
        </w:trPr>
        <w:tc>
          <w:tcPr>
            <w:tcW w:w="1762" w:type="dxa"/>
            <w:vMerge w:val="restart"/>
            <w:tcBorders>
              <w:top w:val="nil"/>
              <w:left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D（其他）</w:t>
            </w:r>
          </w:p>
        </w:tc>
        <w:tc>
          <w:tcPr>
            <w:tcW w:w="3177"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相变储能调峰</w:t>
            </w:r>
          </w:p>
        </w:tc>
        <w:tc>
          <w:tcPr>
            <w:tcW w:w="828"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3</w:t>
            </w:r>
          </w:p>
        </w:tc>
        <w:tc>
          <w:tcPr>
            <w:tcW w:w="2989"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0.1-0.2%</w:t>
            </w:r>
          </w:p>
        </w:tc>
      </w:tr>
      <w:tr w:rsidR="00C553A3" w:rsidTr="0078353A">
        <w:trPr>
          <w:trHeight w:val="270"/>
          <w:jc w:val="center"/>
        </w:trPr>
        <w:tc>
          <w:tcPr>
            <w:tcW w:w="1762" w:type="dxa"/>
            <w:vMerge/>
            <w:tcBorders>
              <w:left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p>
        </w:tc>
        <w:tc>
          <w:tcPr>
            <w:tcW w:w="3177"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分布式供能</w:t>
            </w:r>
          </w:p>
        </w:tc>
        <w:tc>
          <w:tcPr>
            <w:tcW w:w="828"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2</w:t>
            </w:r>
          </w:p>
        </w:tc>
        <w:tc>
          <w:tcPr>
            <w:tcW w:w="2989" w:type="dxa"/>
            <w:tcBorders>
              <w:top w:val="nil"/>
              <w:left w:val="nil"/>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0.2-0.3%</w:t>
            </w:r>
          </w:p>
        </w:tc>
      </w:tr>
      <w:tr w:rsidR="00C553A3" w:rsidTr="0078353A">
        <w:trPr>
          <w:trHeight w:val="270"/>
          <w:jc w:val="center"/>
        </w:trPr>
        <w:tc>
          <w:tcPr>
            <w:tcW w:w="1762" w:type="dxa"/>
            <w:vMerge/>
            <w:tcBorders>
              <w:left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p>
        </w:tc>
        <w:tc>
          <w:tcPr>
            <w:tcW w:w="3177"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高效变压器</w:t>
            </w:r>
          </w:p>
        </w:tc>
        <w:tc>
          <w:tcPr>
            <w:tcW w:w="828"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2</w:t>
            </w:r>
          </w:p>
        </w:tc>
        <w:tc>
          <w:tcPr>
            <w:tcW w:w="2989"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0.2-0.3%</w:t>
            </w:r>
          </w:p>
        </w:tc>
      </w:tr>
      <w:tr w:rsidR="00C553A3" w:rsidTr="0078353A">
        <w:trPr>
          <w:trHeight w:val="270"/>
          <w:jc w:val="center"/>
        </w:trPr>
        <w:tc>
          <w:tcPr>
            <w:tcW w:w="1762" w:type="dxa"/>
            <w:vMerge/>
            <w:tcBorders>
              <w:left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p>
        </w:tc>
        <w:tc>
          <w:tcPr>
            <w:tcW w:w="3177"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光伏</w:t>
            </w:r>
          </w:p>
        </w:tc>
        <w:tc>
          <w:tcPr>
            <w:tcW w:w="828"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3</w:t>
            </w:r>
          </w:p>
        </w:tc>
        <w:tc>
          <w:tcPr>
            <w:tcW w:w="2989"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0.1-0.2%</w:t>
            </w:r>
          </w:p>
        </w:tc>
      </w:tr>
      <w:tr w:rsidR="00C553A3" w:rsidTr="0078353A">
        <w:trPr>
          <w:trHeight w:val="270"/>
          <w:jc w:val="center"/>
        </w:trPr>
        <w:tc>
          <w:tcPr>
            <w:tcW w:w="1762" w:type="dxa"/>
            <w:vMerge/>
            <w:tcBorders>
              <w:left w:val="single" w:sz="4" w:space="0" w:color="auto"/>
              <w:bottom w:val="single" w:sz="4" w:space="0" w:color="auto"/>
              <w:right w:val="single" w:sz="4" w:space="0" w:color="auto"/>
            </w:tcBorders>
            <w:vAlign w:val="center"/>
          </w:tcPr>
          <w:p w:rsidR="00C553A3" w:rsidRDefault="00C553A3" w:rsidP="0078353A">
            <w:pPr>
              <w:spacing w:line="300" w:lineRule="exact"/>
              <w:rPr>
                <w:rFonts w:ascii="仿宋_GB2312" w:hAnsi="仿宋_GB2312" w:cs="仿宋_GB2312"/>
                <w:color w:val="000000"/>
                <w:sz w:val="24"/>
                <w:szCs w:val="24"/>
              </w:rPr>
            </w:pPr>
          </w:p>
        </w:tc>
        <w:tc>
          <w:tcPr>
            <w:tcW w:w="3177"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电磁波循环冷却水处理</w:t>
            </w:r>
          </w:p>
        </w:tc>
        <w:tc>
          <w:tcPr>
            <w:tcW w:w="828"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3</w:t>
            </w:r>
          </w:p>
        </w:tc>
        <w:tc>
          <w:tcPr>
            <w:tcW w:w="2989" w:type="dxa"/>
            <w:tcBorders>
              <w:top w:val="single" w:sz="4" w:space="0" w:color="auto"/>
              <w:left w:val="single" w:sz="4" w:space="0" w:color="auto"/>
              <w:bottom w:val="single" w:sz="4" w:space="0" w:color="auto"/>
              <w:right w:val="single" w:sz="4" w:space="0" w:color="auto"/>
            </w:tcBorders>
            <w:vAlign w:val="center"/>
          </w:tcPr>
          <w:p w:rsidR="00C553A3" w:rsidRDefault="00C553A3" w:rsidP="0078353A">
            <w:pPr>
              <w:spacing w:line="300" w:lineRule="exact"/>
              <w:jc w:val="center"/>
              <w:rPr>
                <w:rFonts w:ascii="仿宋_GB2312" w:hAnsi="仿宋_GB2312" w:cs="仿宋_GB2312"/>
                <w:color w:val="000000"/>
                <w:sz w:val="24"/>
                <w:szCs w:val="24"/>
              </w:rPr>
            </w:pPr>
            <w:r>
              <w:rPr>
                <w:rFonts w:ascii="仿宋_GB2312" w:hAnsi="仿宋_GB2312" w:cs="仿宋_GB2312" w:hint="eastAsia"/>
                <w:color w:val="000000"/>
                <w:sz w:val="24"/>
                <w:szCs w:val="24"/>
              </w:rPr>
              <w:t>0.1</w:t>
            </w:r>
          </w:p>
        </w:tc>
      </w:tr>
    </w:tbl>
    <w:p w:rsidR="00C553A3" w:rsidRDefault="00C553A3" w:rsidP="00C553A3">
      <w:pPr>
        <w:spacing w:line="520" w:lineRule="exact"/>
        <w:jc w:val="center"/>
        <w:rPr>
          <w:rFonts w:eastAsia="宋体" w:hAnsi="宋体"/>
          <w:b/>
          <w:bCs/>
          <w:sz w:val="36"/>
          <w:szCs w:val="36"/>
        </w:rPr>
      </w:pPr>
    </w:p>
    <w:p w:rsidR="008F61CD" w:rsidRPr="00C553A3" w:rsidRDefault="00C553A3" w:rsidP="00C553A3">
      <w:pPr>
        <w:pStyle w:val="a4"/>
        <w:adjustRightInd w:val="0"/>
        <w:snapToGrid w:val="0"/>
        <w:spacing w:before="0" w:beforeAutospacing="0" w:after="0" w:afterAutospacing="0" w:line="500" w:lineRule="exact"/>
        <w:ind w:firstLineChars="200" w:firstLine="652"/>
        <w:jc w:val="both"/>
        <w:rPr>
          <w:rFonts w:ascii="仿宋_GB2312" w:hAnsi="仿宋_GB2312" w:cs="仿宋_GB2312"/>
          <w:position w:val="-46"/>
        </w:rPr>
      </w:pPr>
      <w:r>
        <w:rPr>
          <w:rFonts w:ascii="仿宋_GB2312" w:eastAsia="仿宋_GB2312" w:hAnsi="仿宋_GB2312" w:cs="仿宋_GB2312" w:hint="eastAsia"/>
          <w:sz w:val="32"/>
          <w:szCs w:val="32"/>
        </w:rPr>
        <w:t>操作上鼓励A、B、C、|D套餐组合使用，每叠加使用一个套餐，再降低下浮0.1%利率。采用多种技术联合计算的方式。假设A技术的下浮数是a1，使用规模是对应系统总规模的a2%，B计算的下浮数是b1，使用规模是对应系统总规模的b2%。那么最终的下浮数X=a1*a2%+b1*b2%。建议X值设定一个最大值2%。</w:t>
      </w:r>
    </w:p>
    <w:sectPr w:rsidR="008F61CD" w:rsidRPr="00C553A3" w:rsidSect="0063054A">
      <w:footerReference w:type="even" r:id="rId6"/>
      <w:footerReference w:type="default" r:id="rId7"/>
      <w:footerReference w:type="first" r:id="rId8"/>
      <w:pgSz w:w="11906" w:h="16838"/>
      <w:pgMar w:top="1967" w:right="1474" w:bottom="1899" w:left="1588" w:header="851" w:footer="1049"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B2A" w:rsidRDefault="00DB5B2A" w:rsidP="0063054A">
      <w:pPr>
        <w:spacing w:line="240" w:lineRule="auto"/>
      </w:pPr>
      <w:r>
        <w:separator/>
      </w:r>
    </w:p>
  </w:endnote>
  <w:endnote w:type="continuationSeparator" w:id="1">
    <w:p w:rsidR="00DB5B2A" w:rsidRDefault="00DB5B2A" w:rsidP="0063054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54A" w:rsidRDefault="008A435C">
    <w:pPr>
      <w:pStyle w:val="a3"/>
      <w:tabs>
        <w:tab w:val="clear" w:pos="4153"/>
        <w:tab w:val="left" w:pos="2124"/>
      </w:tabs>
      <w:spacing w:line="473" w:lineRule="auto"/>
      <w:ind w:leftChars="100" w:left="308"/>
      <w:jc w:val="left"/>
      <w:rPr>
        <w:rStyle w:val="a5"/>
        <w:rFonts w:ascii="宋体" w:eastAsia="宋体" w:hAnsi="宋体"/>
        <w:position w:val="-28"/>
        <w:sz w:val="28"/>
      </w:rPr>
    </w:pPr>
    <w:r>
      <w:rPr>
        <w:rStyle w:val="a5"/>
        <w:rFonts w:ascii="宋体" w:eastAsia="宋体" w:hAnsi="宋体" w:hint="eastAsia"/>
        <w:position w:val="-28"/>
        <w:sz w:val="28"/>
      </w:rPr>
      <w:t xml:space="preserve">— </w:t>
    </w:r>
    <w:r w:rsidR="0063054A">
      <w:rPr>
        <w:rFonts w:ascii="宋体" w:eastAsia="宋体" w:hAnsi="宋体" w:hint="eastAsia"/>
        <w:position w:val="-28"/>
        <w:sz w:val="28"/>
      </w:rPr>
      <w:fldChar w:fldCharType="begin"/>
    </w:r>
    <w:r>
      <w:rPr>
        <w:rStyle w:val="a5"/>
        <w:rFonts w:ascii="宋体" w:eastAsia="宋体" w:hAnsi="宋体" w:hint="eastAsia"/>
        <w:position w:val="-28"/>
        <w:sz w:val="28"/>
      </w:rPr>
      <w:instrText xml:space="preserve"> PAGE </w:instrText>
    </w:r>
    <w:r w:rsidR="0063054A">
      <w:rPr>
        <w:rFonts w:ascii="宋体" w:eastAsia="宋体" w:hAnsi="宋体" w:hint="eastAsia"/>
        <w:position w:val="-28"/>
        <w:sz w:val="28"/>
      </w:rPr>
      <w:fldChar w:fldCharType="separate"/>
    </w:r>
    <w:r>
      <w:rPr>
        <w:rStyle w:val="a5"/>
        <w:rFonts w:ascii="宋体" w:eastAsia="宋体" w:hAnsi="宋体" w:hint="eastAsia"/>
        <w:position w:val="-28"/>
        <w:sz w:val="28"/>
      </w:rPr>
      <w:t>2</w:t>
    </w:r>
    <w:r w:rsidR="0063054A">
      <w:rPr>
        <w:rFonts w:ascii="宋体" w:eastAsia="宋体" w:hAnsi="宋体" w:hint="eastAsia"/>
        <w:position w:val="-28"/>
        <w:sz w:val="28"/>
      </w:rPr>
      <w:fldChar w:fldCharType="end"/>
    </w:r>
    <w:r>
      <w:rPr>
        <w:rFonts w:ascii="宋体" w:eastAsia="宋体" w:hAnsi="宋体" w:hint="eastAsia"/>
        <w:position w:val="-28"/>
        <w:sz w:val="28"/>
      </w:rPr>
      <w:t xml:space="preserve"> </w:t>
    </w:r>
    <w:r>
      <w:rPr>
        <w:rStyle w:val="a5"/>
        <w:rFonts w:ascii="宋体" w:eastAsia="宋体" w:hAnsi="宋体" w:hint="eastAsia"/>
        <w:position w:val="-28"/>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54A" w:rsidRDefault="0063054A" w:rsidP="00EA6279">
    <w:pPr>
      <w:pStyle w:val="a3"/>
      <w:spacing w:afterLines="220" w:line="432" w:lineRule="auto"/>
      <w:ind w:leftChars="100" w:left="308"/>
      <w:rPr>
        <w:rFonts w:ascii="仿宋_GB2312"/>
        <w:sz w:val="28"/>
      </w:rPr>
    </w:pPr>
    <w:r w:rsidRPr="0063054A">
      <w:rPr>
        <w:sz w:val="28"/>
      </w:rPr>
      <w:pict>
        <v:shapetype id="_x0000_t202" coordsize="21600,21600" o:spt="202" path="m,l,21600r21600,l21600,xe">
          <v:stroke joinstyle="miter"/>
          <v:path gradientshapeok="t" o:connecttype="rect"/>
        </v:shapetype>
        <v:shape id="文本框 1" o:spid="_x0000_s1025" type="#_x0000_t202" style="position:absolute;left:0;text-align:left;margin-left:208pt;margin-top:0;width:2in;height:2in;z-index:251660288;mso-wrap-style:none;mso-position-horizontal:outside;mso-position-horizontal-relative:margin" filled="f" stroked="f" strokeweight="1.25pt">
          <v:fill o:detectmouseclick="t"/>
          <v:textbox style="mso-fit-shape-to-text:t" inset="0,0,0,0">
            <w:txbxContent>
              <w:p w:rsidR="0063054A" w:rsidRDefault="008A435C">
                <w:pPr>
                  <w:rPr>
                    <w:rFonts w:ascii="宋体" w:eastAsia="宋体"/>
                    <w:sz w:val="28"/>
                    <w:szCs w:val="28"/>
                  </w:rPr>
                </w:pPr>
                <w:r>
                  <w:rPr>
                    <w:rFonts w:ascii="宋体" w:eastAsia="宋体" w:hint="eastAsia"/>
                    <w:sz w:val="28"/>
                    <w:szCs w:val="28"/>
                  </w:rPr>
                  <w:t xml:space="preserve">— </w:t>
                </w:r>
                <w:r w:rsidR="0063054A">
                  <w:rPr>
                    <w:rFonts w:ascii="宋体" w:eastAsia="宋体" w:hint="eastAsia"/>
                    <w:sz w:val="28"/>
                    <w:szCs w:val="28"/>
                  </w:rPr>
                  <w:fldChar w:fldCharType="begin"/>
                </w:r>
                <w:r>
                  <w:rPr>
                    <w:rFonts w:ascii="宋体" w:eastAsia="宋体" w:hint="eastAsia"/>
                    <w:sz w:val="28"/>
                    <w:szCs w:val="28"/>
                  </w:rPr>
                  <w:instrText xml:space="preserve"> PAGE  \* MERGEFORMAT </w:instrText>
                </w:r>
                <w:r w:rsidR="0063054A">
                  <w:rPr>
                    <w:rFonts w:ascii="宋体" w:eastAsia="宋体" w:hint="eastAsia"/>
                    <w:sz w:val="28"/>
                    <w:szCs w:val="28"/>
                  </w:rPr>
                  <w:fldChar w:fldCharType="separate"/>
                </w:r>
                <w:r w:rsidR="00EA6279">
                  <w:rPr>
                    <w:rFonts w:ascii="宋体" w:eastAsia="宋体"/>
                    <w:noProof/>
                    <w:sz w:val="28"/>
                    <w:szCs w:val="28"/>
                  </w:rPr>
                  <w:t>5</w:t>
                </w:r>
                <w:r w:rsidR="0063054A">
                  <w:rPr>
                    <w:rFonts w:ascii="宋体" w:eastAsia="宋体" w:hint="eastAsia"/>
                    <w:sz w:val="28"/>
                    <w:szCs w:val="28"/>
                  </w:rPr>
                  <w:fldChar w:fldCharType="end"/>
                </w:r>
                <w:r>
                  <w:rPr>
                    <w:rFonts w:ascii="宋体" w:eastAsia="宋体"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54A" w:rsidRDefault="0063054A">
    <w:pPr>
      <w:pStyle w:val="a3"/>
    </w:pPr>
  </w:p>
  <w:p w:rsidR="0063054A" w:rsidRDefault="0063054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B2A" w:rsidRDefault="00DB5B2A" w:rsidP="0063054A">
      <w:pPr>
        <w:spacing w:line="240" w:lineRule="auto"/>
      </w:pPr>
      <w:r>
        <w:separator/>
      </w:r>
    </w:p>
  </w:footnote>
  <w:footnote w:type="continuationSeparator" w:id="1">
    <w:p w:rsidR="00DB5B2A" w:rsidRDefault="00DB5B2A" w:rsidP="0063054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53A3"/>
    <w:rsid w:val="000027BB"/>
    <w:rsid w:val="00003CE1"/>
    <w:rsid w:val="00005B57"/>
    <w:rsid w:val="00006099"/>
    <w:rsid w:val="00007090"/>
    <w:rsid w:val="000115BE"/>
    <w:rsid w:val="00012FE5"/>
    <w:rsid w:val="00013193"/>
    <w:rsid w:val="00017490"/>
    <w:rsid w:val="00020CD4"/>
    <w:rsid w:val="0002350C"/>
    <w:rsid w:val="00023AF0"/>
    <w:rsid w:val="00026868"/>
    <w:rsid w:val="00033DC9"/>
    <w:rsid w:val="000350FC"/>
    <w:rsid w:val="00036517"/>
    <w:rsid w:val="000421AB"/>
    <w:rsid w:val="00042DE1"/>
    <w:rsid w:val="0004607D"/>
    <w:rsid w:val="000465E4"/>
    <w:rsid w:val="00047163"/>
    <w:rsid w:val="00047A1E"/>
    <w:rsid w:val="00056361"/>
    <w:rsid w:val="000572D0"/>
    <w:rsid w:val="000612F9"/>
    <w:rsid w:val="000635D0"/>
    <w:rsid w:val="00063D2C"/>
    <w:rsid w:val="00064CAE"/>
    <w:rsid w:val="000677DB"/>
    <w:rsid w:val="00073C62"/>
    <w:rsid w:val="0007636A"/>
    <w:rsid w:val="00076751"/>
    <w:rsid w:val="000771D4"/>
    <w:rsid w:val="00082742"/>
    <w:rsid w:val="000834F0"/>
    <w:rsid w:val="00085D98"/>
    <w:rsid w:val="00090C91"/>
    <w:rsid w:val="00093505"/>
    <w:rsid w:val="00093F08"/>
    <w:rsid w:val="000954FA"/>
    <w:rsid w:val="000A0E5E"/>
    <w:rsid w:val="000A23E2"/>
    <w:rsid w:val="000A45C4"/>
    <w:rsid w:val="000A5ACB"/>
    <w:rsid w:val="000A6448"/>
    <w:rsid w:val="000A7AA2"/>
    <w:rsid w:val="000B0408"/>
    <w:rsid w:val="000B7171"/>
    <w:rsid w:val="000B7B6D"/>
    <w:rsid w:val="000C00D4"/>
    <w:rsid w:val="000C02E3"/>
    <w:rsid w:val="000C11A8"/>
    <w:rsid w:val="000C3142"/>
    <w:rsid w:val="000C4626"/>
    <w:rsid w:val="000C4991"/>
    <w:rsid w:val="000C63BE"/>
    <w:rsid w:val="000D05EE"/>
    <w:rsid w:val="000D0D40"/>
    <w:rsid w:val="000D2010"/>
    <w:rsid w:val="000D59AD"/>
    <w:rsid w:val="000E0E57"/>
    <w:rsid w:val="000E2F1A"/>
    <w:rsid w:val="000E3604"/>
    <w:rsid w:val="000E42B6"/>
    <w:rsid w:val="000E5FDA"/>
    <w:rsid w:val="000E63E7"/>
    <w:rsid w:val="000F06C6"/>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2CB8"/>
    <w:rsid w:val="00126267"/>
    <w:rsid w:val="001267B8"/>
    <w:rsid w:val="00132F72"/>
    <w:rsid w:val="0013509E"/>
    <w:rsid w:val="00135861"/>
    <w:rsid w:val="00140FE6"/>
    <w:rsid w:val="001419C7"/>
    <w:rsid w:val="00141A4D"/>
    <w:rsid w:val="00141FD6"/>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D01"/>
    <w:rsid w:val="00162FEA"/>
    <w:rsid w:val="00163B2C"/>
    <w:rsid w:val="0016447A"/>
    <w:rsid w:val="00167C98"/>
    <w:rsid w:val="00170E3F"/>
    <w:rsid w:val="00171473"/>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B36"/>
    <w:rsid w:val="0020263C"/>
    <w:rsid w:val="0021132B"/>
    <w:rsid w:val="00211506"/>
    <w:rsid w:val="002146D8"/>
    <w:rsid w:val="00215D98"/>
    <w:rsid w:val="002166F5"/>
    <w:rsid w:val="00216AEE"/>
    <w:rsid w:val="00220414"/>
    <w:rsid w:val="0022175B"/>
    <w:rsid w:val="00222851"/>
    <w:rsid w:val="00222E90"/>
    <w:rsid w:val="0022583C"/>
    <w:rsid w:val="00226911"/>
    <w:rsid w:val="00227853"/>
    <w:rsid w:val="00231838"/>
    <w:rsid w:val="002347DC"/>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5AA5"/>
    <w:rsid w:val="002769B7"/>
    <w:rsid w:val="00277E11"/>
    <w:rsid w:val="0028012D"/>
    <w:rsid w:val="0028181A"/>
    <w:rsid w:val="0028264E"/>
    <w:rsid w:val="00282796"/>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D68F2"/>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37A02"/>
    <w:rsid w:val="003405C8"/>
    <w:rsid w:val="003420B3"/>
    <w:rsid w:val="00346259"/>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24349"/>
    <w:rsid w:val="00526542"/>
    <w:rsid w:val="00533AF3"/>
    <w:rsid w:val="00541253"/>
    <w:rsid w:val="005414A9"/>
    <w:rsid w:val="00541B16"/>
    <w:rsid w:val="00545A77"/>
    <w:rsid w:val="00550208"/>
    <w:rsid w:val="00551EBC"/>
    <w:rsid w:val="00554B3B"/>
    <w:rsid w:val="00556D81"/>
    <w:rsid w:val="005605B4"/>
    <w:rsid w:val="005612A6"/>
    <w:rsid w:val="00561DA4"/>
    <w:rsid w:val="00563698"/>
    <w:rsid w:val="00564E0E"/>
    <w:rsid w:val="00567E8E"/>
    <w:rsid w:val="005716A1"/>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3D7D"/>
    <w:rsid w:val="005E499B"/>
    <w:rsid w:val="005E505E"/>
    <w:rsid w:val="005E5BC3"/>
    <w:rsid w:val="005E6103"/>
    <w:rsid w:val="005E6D93"/>
    <w:rsid w:val="005E75DA"/>
    <w:rsid w:val="005F0CE8"/>
    <w:rsid w:val="005F23AD"/>
    <w:rsid w:val="005F35C5"/>
    <w:rsid w:val="005F6404"/>
    <w:rsid w:val="005F6D8F"/>
    <w:rsid w:val="00602DE0"/>
    <w:rsid w:val="00603186"/>
    <w:rsid w:val="0060429D"/>
    <w:rsid w:val="00610A8E"/>
    <w:rsid w:val="006127CE"/>
    <w:rsid w:val="00612EA9"/>
    <w:rsid w:val="00613A36"/>
    <w:rsid w:val="00620824"/>
    <w:rsid w:val="00620D64"/>
    <w:rsid w:val="00621CFF"/>
    <w:rsid w:val="00622F30"/>
    <w:rsid w:val="00623CE2"/>
    <w:rsid w:val="00623D39"/>
    <w:rsid w:val="006244C1"/>
    <w:rsid w:val="006244E4"/>
    <w:rsid w:val="00627B54"/>
    <w:rsid w:val="0063054A"/>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29B"/>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E04E8"/>
    <w:rsid w:val="006E0C9D"/>
    <w:rsid w:val="006E2982"/>
    <w:rsid w:val="006E299B"/>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0DB5"/>
    <w:rsid w:val="007211CB"/>
    <w:rsid w:val="007212AC"/>
    <w:rsid w:val="00723637"/>
    <w:rsid w:val="0072451B"/>
    <w:rsid w:val="0072459B"/>
    <w:rsid w:val="00725743"/>
    <w:rsid w:val="00732227"/>
    <w:rsid w:val="00733D4F"/>
    <w:rsid w:val="007409A5"/>
    <w:rsid w:val="00741931"/>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627"/>
    <w:rsid w:val="007B4C94"/>
    <w:rsid w:val="007C01FF"/>
    <w:rsid w:val="007C542B"/>
    <w:rsid w:val="007C6C6D"/>
    <w:rsid w:val="007C72A0"/>
    <w:rsid w:val="007D092A"/>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3D7B"/>
    <w:rsid w:val="00814115"/>
    <w:rsid w:val="008165A0"/>
    <w:rsid w:val="00816741"/>
    <w:rsid w:val="008206CE"/>
    <w:rsid w:val="00820A8B"/>
    <w:rsid w:val="008223D6"/>
    <w:rsid w:val="0082495E"/>
    <w:rsid w:val="00833B40"/>
    <w:rsid w:val="00837D57"/>
    <w:rsid w:val="00840975"/>
    <w:rsid w:val="008429F9"/>
    <w:rsid w:val="008453EF"/>
    <w:rsid w:val="008475A6"/>
    <w:rsid w:val="008476A7"/>
    <w:rsid w:val="008500EE"/>
    <w:rsid w:val="008502A1"/>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35C"/>
    <w:rsid w:val="008A4C6C"/>
    <w:rsid w:val="008A60AA"/>
    <w:rsid w:val="008A61CD"/>
    <w:rsid w:val="008A781C"/>
    <w:rsid w:val="008B152A"/>
    <w:rsid w:val="008B25C9"/>
    <w:rsid w:val="008B3AE2"/>
    <w:rsid w:val="008B3CDA"/>
    <w:rsid w:val="008B5757"/>
    <w:rsid w:val="008B6738"/>
    <w:rsid w:val="008B7DB0"/>
    <w:rsid w:val="008C2644"/>
    <w:rsid w:val="008C59CB"/>
    <w:rsid w:val="008C5A1E"/>
    <w:rsid w:val="008C5E47"/>
    <w:rsid w:val="008C640E"/>
    <w:rsid w:val="008C7022"/>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5700F"/>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753A8"/>
    <w:rsid w:val="009802C7"/>
    <w:rsid w:val="009823B4"/>
    <w:rsid w:val="00986C3D"/>
    <w:rsid w:val="009872A4"/>
    <w:rsid w:val="00987689"/>
    <w:rsid w:val="009908D8"/>
    <w:rsid w:val="00991784"/>
    <w:rsid w:val="00994C78"/>
    <w:rsid w:val="009A0B36"/>
    <w:rsid w:val="009A3373"/>
    <w:rsid w:val="009A3B42"/>
    <w:rsid w:val="009A5CF7"/>
    <w:rsid w:val="009A6987"/>
    <w:rsid w:val="009B0F09"/>
    <w:rsid w:val="009B6931"/>
    <w:rsid w:val="009B7BE3"/>
    <w:rsid w:val="009C00D1"/>
    <w:rsid w:val="009C09D5"/>
    <w:rsid w:val="009C38B0"/>
    <w:rsid w:val="009C4979"/>
    <w:rsid w:val="009C7944"/>
    <w:rsid w:val="009D0386"/>
    <w:rsid w:val="009D0C9A"/>
    <w:rsid w:val="009D1922"/>
    <w:rsid w:val="009D2C95"/>
    <w:rsid w:val="009D328C"/>
    <w:rsid w:val="009D585F"/>
    <w:rsid w:val="009E6C87"/>
    <w:rsid w:val="009F0147"/>
    <w:rsid w:val="009F05F7"/>
    <w:rsid w:val="009F2492"/>
    <w:rsid w:val="009F45F0"/>
    <w:rsid w:val="009F52CC"/>
    <w:rsid w:val="009F67C4"/>
    <w:rsid w:val="00A03314"/>
    <w:rsid w:val="00A03782"/>
    <w:rsid w:val="00A04614"/>
    <w:rsid w:val="00A04E61"/>
    <w:rsid w:val="00A0513E"/>
    <w:rsid w:val="00A07D9D"/>
    <w:rsid w:val="00A102E4"/>
    <w:rsid w:val="00A1236A"/>
    <w:rsid w:val="00A134D7"/>
    <w:rsid w:val="00A13DA0"/>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0765"/>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C6A0D"/>
    <w:rsid w:val="00AD0A1D"/>
    <w:rsid w:val="00AD319E"/>
    <w:rsid w:val="00AD3FD1"/>
    <w:rsid w:val="00AD4EE0"/>
    <w:rsid w:val="00AD5DD2"/>
    <w:rsid w:val="00AD64DA"/>
    <w:rsid w:val="00AD6BF8"/>
    <w:rsid w:val="00AE0453"/>
    <w:rsid w:val="00AE07A5"/>
    <w:rsid w:val="00AE5AB0"/>
    <w:rsid w:val="00AE6091"/>
    <w:rsid w:val="00AF12AB"/>
    <w:rsid w:val="00AF26F3"/>
    <w:rsid w:val="00AF4605"/>
    <w:rsid w:val="00AF4FE8"/>
    <w:rsid w:val="00AF511B"/>
    <w:rsid w:val="00B03010"/>
    <w:rsid w:val="00B0418B"/>
    <w:rsid w:val="00B069A1"/>
    <w:rsid w:val="00B11920"/>
    <w:rsid w:val="00B14B8D"/>
    <w:rsid w:val="00B15BFF"/>
    <w:rsid w:val="00B172DC"/>
    <w:rsid w:val="00B22FFA"/>
    <w:rsid w:val="00B23438"/>
    <w:rsid w:val="00B236C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76FC0"/>
    <w:rsid w:val="00B81761"/>
    <w:rsid w:val="00B823F2"/>
    <w:rsid w:val="00B84A5A"/>
    <w:rsid w:val="00B906FC"/>
    <w:rsid w:val="00B935D3"/>
    <w:rsid w:val="00B93CEE"/>
    <w:rsid w:val="00B93E8C"/>
    <w:rsid w:val="00B945DF"/>
    <w:rsid w:val="00B95695"/>
    <w:rsid w:val="00B95CCA"/>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1C64"/>
    <w:rsid w:val="00C220E4"/>
    <w:rsid w:val="00C224D4"/>
    <w:rsid w:val="00C242A5"/>
    <w:rsid w:val="00C26BB9"/>
    <w:rsid w:val="00C31058"/>
    <w:rsid w:val="00C319A9"/>
    <w:rsid w:val="00C4052F"/>
    <w:rsid w:val="00C4139B"/>
    <w:rsid w:val="00C42E72"/>
    <w:rsid w:val="00C4444E"/>
    <w:rsid w:val="00C44A4B"/>
    <w:rsid w:val="00C46134"/>
    <w:rsid w:val="00C47050"/>
    <w:rsid w:val="00C500BB"/>
    <w:rsid w:val="00C50B2B"/>
    <w:rsid w:val="00C50CD6"/>
    <w:rsid w:val="00C5129E"/>
    <w:rsid w:val="00C517DB"/>
    <w:rsid w:val="00C52015"/>
    <w:rsid w:val="00C52FF1"/>
    <w:rsid w:val="00C53D2C"/>
    <w:rsid w:val="00C54A90"/>
    <w:rsid w:val="00C553A3"/>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0401"/>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448"/>
    <w:rsid w:val="00D00B55"/>
    <w:rsid w:val="00D0123E"/>
    <w:rsid w:val="00D04D56"/>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63E6"/>
    <w:rsid w:val="00D472D6"/>
    <w:rsid w:val="00D53C64"/>
    <w:rsid w:val="00D57AD8"/>
    <w:rsid w:val="00D60096"/>
    <w:rsid w:val="00D60AD7"/>
    <w:rsid w:val="00D62A98"/>
    <w:rsid w:val="00D66FAE"/>
    <w:rsid w:val="00D70379"/>
    <w:rsid w:val="00D73EEC"/>
    <w:rsid w:val="00D745F2"/>
    <w:rsid w:val="00D77559"/>
    <w:rsid w:val="00D779A5"/>
    <w:rsid w:val="00D802B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4175"/>
    <w:rsid w:val="00DB54D0"/>
    <w:rsid w:val="00DB5889"/>
    <w:rsid w:val="00DB5B2A"/>
    <w:rsid w:val="00DB744E"/>
    <w:rsid w:val="00DC0A44"/>
    <w:rsid w:val="00DC2800"/>
    <w:rsid w:val="00DC463C"/>
    <w:rsid w:val="00DC798D"/>
    <w:rsid w:val="00DD1369"/>
    <w:rsid w:val="00DD1913"/>
    <w:rsid w:val="00DD243E"/>
    <w:rsid w:val="00DD246E"/>
    <w:rsid w:val="00DD406D"/>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17990"/>
    <w:rsid w:val="00E20FF5"/>
    <w:rsid w:val="00E21548"/>
    <w:rsid w:val="00E222DB"/>
    <w:rsid w:val="00E2281D"/>
    <w:rsid w:val="00E22847"/>
    <w:rsid w:val="00E22F2B"/>
    <w:rsid w:val="00E24891"/>
    <w:rsid w:val="00E26ECD"/>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387"/>
    <w:rsid w:val="00E557AD"/>
    <w:rsid w:val="00E560C5"/>
    <w:rsid w:val="00E578BE"/>
    <w:rsid w:val="00E65C6A"/>
    <w:rsid w:val="00E65F0E"/>
    <w:rsid w:val="00E660E4"/>
    <w:rsid w:val="00E71EE2"/>
    <w:rsid w:val="00E72AAB"/>
    <w:rsid w:val="00E74B3C"/>
    <w:rsid w:val="00E752BA"/>
    <w:rsid w:val="00E7684F"/>
    <w:rsid w:val="00E76D53"/>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A6279"/>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718E"/>
    <w:rsid w:val="00ED06F7"/>
    <w:rsid w:val="00ED2AE1"/>
    <w:rsid w:val="00ED350D"/>
    <w:rsid w:val="00ED3555"/>
    <w:rsid w:val="00ED5075"/>
    <w:rsid w:val="00ED679A"/>
    <w:rsid w:val="00EE2C15"/>
    <w:rsid w:val="00EE3D6A"/>
    <w:rsid w:val="00EE3DF1"/>
    <w:rsid w:val="00EE4FF4"/>
    <w:rsid w:val="00EE5E85"/>
    <w:rsid w:val="00EE7900"/>
    <w:rsid w:val="00EF10D2"/>
    <w:rsid w:val="00EF2CCE"/>
    <w:rsid w:val="00EF4FBF"/>
    <w:rsid w:val="00EF6335"/>
    <w:rsid w:val="00F00683"/>
    <w:rsid w:val="00F01EB0"/>
    <w:rsid w:val="00F05025"/>
    <w:rsid w:val="00F06316"/>
    <w:rsid w:val="00F079A2"/>
    <w:rsid w:val="00F104F3"/>
    <w:rsid w:val="00F11181"/>
    <w:rsid w:val="00F11EA5"/>
    <w:rsid w:val="00F123C0"/>
    <w:rsid w:val="00F155CE"/>
    <w:rsid w:val="00F15FEB"/>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A7"/>
    <w:rsid w:val="00F87A55"/>
    <w:rsid w:val="00F906B0"/>
    <w:rsid w:val="00F93CD3"/>
    <w:rsid w:val="00F940EE"/>
    <w:rsid w:val="00F96343"/>
    <w:rsid w:val="00F969C8"/>
    <w:rsid w:val="00F97DAD"/>
    <w:rsid w:val="00FA08C5"/>
    <w:rsid w:val="00FA0AF5"/>
    <w:rsid w:val="00FA2BE0"/>
    <w:rsid w:val="00FA4526"/>
    <w:rsid w:val="00FA4C06"/>
    <w:rsid w:val="00FA5D0A"/>
    <w:rsid w:val="00FA7065"/>
    <w:rsid w:val="00FA7AAF"/>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3A3"/>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553A3"/>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rsid w:val="00C553A3"/>
    <w:rPr>
      <w:rFonts w:ascii="Times New Roman" w:eastAsia="仿宋_GB2312" w:hAnsi="Times New Roman" w:cs="Times New Roman"/>
      <w:spacing w:val="-6"/>
      <w:sz w:val="20"/>
      <w:szCs w:val="20"/>
    </w:rPr>
  </w:style>
  <w:style w:type="paragraph" w:styleId="a4">
    <w:name w:val="Normal (Web)"/>
    <w:basedOn w:val="a"/>
    <w:uiPriority w:val="99"/>
    <w:unhideWhenUsed/>
    <w:qFormat/>
    <w:rsid w:val="00C553A3"/>
    <w:pPr>
      <w:widowControl/>
      <w:spacing w:before="100" w:beforeAutospacing="1" w:after="100" w:afterAutospacing="1" w:line="240" w:lineRule="auto"/>
      <w:jc w:val="left"/>
    </w:pPr>
    <w:rPr>
      <w:rFonts w:ascii="宋体" w:eastAsia="宋体" w:hAnsi="宋体" w:cs="宋体"/>
      <w:spacing w:val="0"/>
      <w:kern w:val="0"/>
      <w:sz w:val="24"/>
      <w:szCs w:val="24"/>
    </w:rPr>
  </w:style>
  <w:style w:type="character" w:styleId="a5">
    <w:name w:val="page number"/>
    <w:basedOn w:val="a0"/>
    <w:rsid w:val="00C553A3"/>
  </w:style>
  <w:style w:type="paragraph" w:styleId="a6">
    <w:name w:val="header"/>
    <w:basedOn w:val="a"/>
    <w:link w:val="Char0"/>
    <w:uiPriority w:val="99"/>
    <w:semiHidden/>
    <w:unhideWhenUsed/>
    <w:rsid w:val="00EA62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A6279"/>
    <w:rPr>
      <w:rFonts w:ascii="Times New Roman" w:eastAsia="仿宋_GB2312" w:hAnsi="Times New Roman" w:cs="Times New Roman"/>
      <w:spacing w:val="-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418</Words>
  <Characters>2386</Characters>
  <Application>Microsoft Office Word</Application>
  <DocSecurity>0</DocSecurity>
  <Lines>19</Lines>
  <Paragraphs>5</Paragraphs>
  <ScaleCrop>false</ScaleCrop>
  <Company>Microsoft</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2020-08-31T03:12:00Z</dcterms:created>
  <dcterms:modified xsi:type="dcterms:W3CDTF">2020-08-31T03:12:00Z</dcterms:modified>
</cp:coreProperties>
</file>