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1A" w:rsidRDefault="00C6701A" w:rsidP="00C6701A">
      <w:pPr>
        <w:spacing w:line="480" w:lineRule="exact"/>
        <w:jc w:val="left"/>
        <w:outlineLvl w:val="0"/>
        <w:rPr>
          <w:rFonts w:ascii="黑体" w:eastAsia="黑体" w:hAnsi="黑体" w:cs="黑体" w:hint="eastAsia"/>
          <w:bCs/>
          <w:w w:val="90"/>
          <w:szCs w:val="32"/>
        </w:rPr>
      </w:pPr>
      <w:r>
        <w:rPr>
          <w:rFonts w:ascii="黑体" w:eastAsia="黑体" w:hAnsi="黑体" w:cs="黑体" w:hint="eastAsia"/>
          <w:bCs/>
          <w:w w:val="90"/>
          <w:szCs w:val="32"/>
        </w:rPr>
        <w:t>附件3</w:t>
      </w:r>
    </w:p>
    <w:p w:rsidR="00C6701A" w:rsidRDefault="00C6701A" w:rsidP="00C6701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上海市工业节能和合同能源管理专项资金</w:t>
      </w:r>
    </w:p>
    <w:p w:rsidR="00C6701A" w:rsidRDefault="00C6701A" w:rsidP="00C6701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（能源管理体系）项目申请报告</w:t>
      </w:r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eastAsia="黑体"/>
          <w:szCs w:val="32"/>
        </w:rPr>
      </w:pPr>
      <w:bookmarkStart w:id="0" w:name="_Toc477882636"/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一、企业概述</w:t>
      </w:r>
      <w:bookmarkEnd w:id="0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（企业简介，工业总产值，增加值，利税，员工数，总资产，综合能耗等相关指标，主要产品简介及生产能力，是否开展过其他管理体系咨询、评价、认证等）</w:t>
      </w:r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仿宋_GB2312" w:hAnsi="仿宋_GB2312" w:cs="仿宋_GB2312" w:hint="eastAsia"/>
          <w:szCs w:val="32"/>
        </w:rPr>
      </w:pPr>
      <w:bookmarkStart w:id="1" w:name="_Toc477882637"/>
      <w:r>
        <w:rPr>
          <w:rFonts w:ascii="仿宋_GB2312" w:hAnsi="仿宋_GB2312" w:cs="仿宋_GB2312" w:hint="eastAsia"/>
          <w:szCs w:val="32"/>
        </w:rPr>
        <w:t>二、企业能耗及产品产量情况</w:t>
      </w:r>
      <w:bookmarkEnd w:id="1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（请填写企业2016年能耗及产品产量情况）</w:t>
      </w:r>
    </w:p>
    <w:p w:rsidR="00C6701A" w:rsidRDefault="00C6701A" w:rsidP="00C6701A">
      <w:pPr>
        <w:spacing w:line="480" w:lineRule="exact"/>
        <w:jc w:val="center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表1  2016年企业能源消费情况表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341"/>
        <w:gridCol w:w="2808"/>
        <w:gridCol w:w="1701"/>
        <w:gridCol w:w="2268"/>
      </w:tblGrid>
      <w:tr w:rsidR="00C6701A" w:rsidTr="000A3618">
        <w:trPr>
          <w:trHeight w:val="605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能源品种</w:t>
            </w: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消耗量</w:t>
            </w: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折合标准煤（吨）</w:t>
            </w:r>
          </w:p>
        </w:tc>
      </w:tr>
      <w:tr w:rsidR="00C6701A" w:rsidTr="000A3618">
        <w:trPr>
          <w:trHeight w:val="577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605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577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605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605"/>
          <w:jc w:val="center"/>
        </w:trPr>
        <w:tc>
          <w:tcPr>
            <w:tcW w:w="779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280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C6701A" w:rsidRDefault="00C6701A" w:rsidP="00C6701A">
      <w:pPr>
        <w:spacing w:line="480" w:lineRule="exact"/>
        <w:jc w:val="center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表2  2016年企业主要产品生产情况表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3685"/>
        <w:gridCol w:w="1843"/>
      </w:tblGrid>
      <w:tr w:rsidR="00C6701A" w:rsidTr="000A3618">
        <w:trPr>
          <w:trHeight w:val="402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产量</w:t>
            </w:r>
          </w:p>
        </w:tc>
      </w:tr>
      <w:tr w:rsidR="00C6701A" w:rsidTr="000A3618">
        <w:trPr>
          <w:trHeight w:val="460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507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579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607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C6701A" w:rsidTr="000A3618">
        <w:trPr>
          <w:trHeight w:val="607"/>
          <w:jc w:val="center"/>
        </w:trPr>
        <w:tc>
          <w:tcPr>
            <w:tcW w:w="817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685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701A" w:rsidRDefault="00C6701A" w:rsidP="000A3618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</w:tbl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bookmarkStart w:id="2" w:name="_Toc477882638"/>
      <w:r>
        <w:rPr>
          <w:rFonts w:ascii="黑体" w:eastAsia="黑体" w:hAnsi="黑体" w:cs="黑体" w:hint="eastAsia"/>
          <w:szCs w:val="32"/>
        </w:rPr>
        <w:t>三、</w:t>
      </w:r>
      <w:bookmarkEnd w:id="2"/>
      <w:r>
        <w:rPr>
          <w:rFonts w:ascii="黑体" w:eastAsia="黑体" w:hAnsi="黑体" w:cs="黑体" w:hint="eastAsia"/>
          <w:szCs w:val="32"/>
        </w:rPr>
        <w:t>咨询机构基本情况</w:t>
      </w:r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四、认证机构基本情况</w:t>
      </w:r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bookmarkStart w:id="3" w:name="_Toc477882643"/>
      <w:r>
        <w:rPr>
          <w:rFonts w:ascii="黑体" w:eastAsia="黑体" w:hAnsi="黑体" w:cs="黑体" w:hint="eastAsia"/>
          <w:szCs w:val="32"/>
        </w:rPr>
        <w:lastRenderedPageBreak/>
        <w:t>五、体系认证相关情况</w:t>
      </w:r>
      <w:bookmarkEnd w:id="3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（请填写体系建设及认证步骤、时间节点与工作内容、认证边界、</w:t>
      </w:r>
      <w:proofErr w:type="gramStart"/>
      <w:r>
        <w:rPr>
          <w:rFonts w:ascii="仿宋_GB2312" w:hAnsi="仿宋_GB2312" w:cs="仿宋_GB2312" w:hint="eastAsia"/>
          <w:bCs/>
          <w:szCs w:val="32"/>
        </w:rPr>
        <w:t>及首次</w:t>
      </w:r>
      <w:proofErr w:type="gramEnd"/>
      <w:r>
        <w:rPr>
          <w:rFonts w:ascii="仿宋_GB2312" w:hAnsi="仿宋_GB2312" w:cs="仿宋_GB2312" w:hint="eastAsia"/>
          <w:bCs/>
          <w:szCs w:val="32"/>
        </w:rPr>
        <w:t>认证期内单位产品能耗或单位产值能耗）</w:t>
      </w:r>
    </w:p>
    <w:p w:rsidR="00C6701A" w:rsidRDefault="00C6701A" w:rsidP="00C6701A">
      <w:pPr>
        <w:spacing w:line="48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bookmarkStart w:id="4" w:name="_Toc477882644"/>
      <w:r>
        <w:rPr>
          <w:rFonts w:ascii="黑体" w:eastAsia="黑体" w:hAnsi="黑体" w:cs="黑体" w:hint="eastAsia"/>
          <w:szCs w:val="32"/>
        </w:rPr>
        <w:t>六、体系基本情况</w:t>
      </w:r>
      <w:bookmarkEnd w:id="4"/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5" w:name="_Toc477882645"/>
      <w:r>
        <w:rPr>
          <w:rFonts w:ascii="仿宋_GB2312" w:hAnsi="仿宋_GB2312" w:cs="仿宋_GB2312" w:hint="eastAsia"/>
          <w:b/>
          <w:bCs/>
          <w:szCs w:val="32"/>
        </w:rPr>
        <w:t>1.管理职责与能源方针</w:t>
      </w:r>
      <w:bookmarkEnd w:id="5"/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6" w:name="_Toc477882646"/>
      <w:bookmarkStart w:id="7" w:name="_Toc477795484"/>
      <w:bookmarkStart w:id="8" w:name="_Toc477867713"/>
      <w:r>
        <w:rPr>
          <w:rFonts w:ascii="仿宋_GB2312" w:hAnsi="仿宋_GB2312" w:cs="仿宋_GB2312" w:hint="eastAsia"/>
          <w:b/>
          <w:bCs/>
          <w:szCs w:val="32"/>
        </w:rPr>
        <w:t>（1）最高管理者</w:t>
      </w:r>
      <w:bookmarkEnd w:id="6"/>
      <w:bookmarkEnd w:id="7"/>
      <w:bookmarkEnd w:id="8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（请填写管理手册中最高管理者承诺、职责等相关内容。）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9" w:name="_Toc477867716"/>
      <w:bookmarkStart w:id="10" w:name="_Toc477882649"/>
      <w:bookmarkStart w:id="11" w:name="_Toc477795487"/>
      <w:r>
        <w:rPr>
          <w:rFonts w:ascii="仿宋_GB2312" w:hAnsi="仿宋_GB2312" w:cs="仿宋_GB2312" w:hint="eastAsia"/>
          <w:b/>
          <w:bCs/>
          <w:szCs w:val="32"/>
        </w:rPr>
        <w:t>（2）管理者代表</w:t>
      </w:r>
      <w:bookmarkEnd w:id="9"/>
      <w:bookmarkEnd w:id="10"/>
      <w:bookmarkEnd w:id="11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（请填写管理手册中管理者团队、管理职责相关内容。）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12" w:name="_Toc477882650"/>
      <w:r>
        <w:rPr>
          <w:rFonts w:ascii="仿宋_GB2312" w:hAnsi="仿宋_GB2312" w:cs="仿宋_GB2312" w:hint="eastAsia"/>
          <w:b/>
          <w:bCs/>
          <w:szCs w:val="32"/>
        </w:rPr>
        <w:t>2.体系策划</w:t>
      </w:r>
      <w:bookmarkEnd w:id="12"/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13" w:name="_Toc477795489"/>
      <w:bookmarkStart w:id="14" w:name="_Toc477867718"/>
      <w:bookmarkStart w:id="15" w:name="_Toc477882651"/>
      <w:r>
        <w:rPr>
          <w:rFonts w:ascii="仿宋_GB2312" w:hAnsi="仿宋_GB2312" w:cs="仿宋_GB2312" w:hint="eastAsia"/>
          <w:b/>
          <w:bCs/>
          <w:szCs w:val="32"/>
        </w:rPr>
        <w:t>（1）法律法规、标准及其他要求</w:t>
      </w:r>
      <w:bookmarkEnd w:id="13"/>
      <w:bookmarkEnd w:id="14"/>
      <w:bookmarkEnd w:id="15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（请填写法律法规、标准及其他要求的搜集、识别、合</w:t>
      </w:r>
      <w:proofErr w:type="gramStart"/>
      <w:r>
        <w:rPr>
          <w:rFonts w:ascii="仿宋_GB2312" w:hAnsi="仿宋_GB2312" w:cs="仿宋_GB2312" w:hint="eastAsia"/>
          <w:bCs/>
          <w:szCs w:val="32"/>
        </w:rPr>
        <w:t>规</w:t>
      </w:r>
      <w:proofErr w:type="gramEnd"/>
      <w:r>
        <w:rPr>
          <w:rFonts w:ascii="仿宋_GB2312" w:hAnsi="仿宋_GB2312" w:cs="仿宋_GB2312" w:hint="eastAsia"/>
          <w:bCs/>
          <w:szCs w:val="32"/>
        </w:rPr>
        <w:t>性评价及应用情况。）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16" w:name="_Toc477867719"/>
      <w:bookmarkStart w:id="17" w:name="_Toc477795490"/>
      <w:bookmarkStart w:id="18" w:name="_Toc477882652"/>
      <w:r>
        <w:rPr>
          <w:rFonts w:ascii="仿宋_GB2312" w:hAnsi="仿宋_GB2312" w:cs="仿宋_GB2312" w:hint="eastAsia"/>
          <w:b/>
          <w:bCs/>
          <w:szCs w:val="32"/>
        </w:rPr>
        <w:t>（2）能源评审</w:t>
      </w:r>
      <w:bookmarkEnd w:id="16"/>
      <w:bookmarkEnd w:id="17"/>
      <w:bookmarkEnd w:id="18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（请填写最近一次能源评审开展情况，包括能源使用及主要能源使用的识别、主要能源使用变量识别、能源管理实施方案的定制等相关内容。）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19" w:name="_Toc477882653"/>
      <w:bookmarkStart w:id="20" w:name="_Toc477867720"/>
      <w:bookmarkStart w:id="21" w:name="_Toc477795491"/>
      <w:r>
        <w:rPr>
          <w:rFonts w:ascii="仿宋_GB2312" w:hAnsi="仿宋_GB2312" w:cs="仿宋_GB2312" w:hint="eastAsia"/>
          <w:b/>
          <w:bCs/>
          <w:szCs w:val="32"/>
        </w:rPr>
        <w:t>（3）能源基准及能源绩效参数</w:t>
      </w:r>
      <w:bookmarkEnd w:id="19"/>
      <w:bookmarkEnd w:id="20"/>
      <w:bookmarkEnd w:id="21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（请填写能源基准及能源绩效参数。）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22" w:name="_Toc477867714"/>
      <w:bookmarkStart w:id="23" w:name="_Toc477882647"/>
      <w:bookmarkStart w:id="24" w:name="_Toc477795485"/>
      <w:r>
        <w:rPr>
          <w:rFonts w:ascii="仿宋_GB2312" w:hAnsi="仿宋_GB2312" w:cs="仿宋_GB2312" w:hint="eastAsia"/>
          <w:b/>
          <w:bCs/>
          <w:szCs w:val="32"/>
        </w:rPr>
        <w:t>（4）能源目标指标</w:t>
      </w:r>
      <w:bookmarkEnd w:id="22"/>
      <w:bookmarkEnd w:id="23"/>
      <w:bookmarkEnd w:id="24"/>
      <w:r>
        <w:rPr>
          <w:rFonts w:ascii="仿宋_GB2312" w:hAnsi="仿宋_GB2312" w:cs="仿宋_GB2312" w:hint="eastAsia"/>
          <w:b/>
          <w:bCs/>
          <w:szCs w:val="32"/>
        </w:rPr>
        <w:t>和能源管理实施方案</w:t>
      </w:r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（请填写管理手册中目标、指标及能源管理实施方案及方案的落实情况等内容。）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25" w:name="_Toc477882654"/>
      <w:r>
        <w:rPr>
          <w:rFonts w:ascii="仿宋_GB2312" w:hAnsi="仿宋_GB2312" w:cs="仿宋_GB2312" w:hint="eastAsia"/>
          <w:b/>
          <w:bCs/>
          <w:szCs w:val="32"/>
        </w:rPr>
        <w:t>3.实施运行</w:t>
      </w:r>
      <w:bookmarkEnd w:id="25"/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26" w:name="_Toc477795493"/>
      <w:bookmarkStart w:id="27" w:name="_Toc477867722"/>
      <w:bookmarkStart w:id="28" w:name="_Toc477882655"/>
      <w:r>
        <w:rPr>
          <w:rFonts w:ascii="仿宋_GB2312" w:hAnsi="仿宋_GB2312" w:cs="仿宋_GB2312" w:hint="eastAsia"/>
          <w:b/>
          <w:bCs/>
          <w:szCs w:val="32"/>
        </w:rPr>
        <w:t>（1）能力、培训及意识</w:t>
      </w:r>
      <w:bookmarkEnd w:id="26"/>
      <w:bookmarkEnd w:id="27"/>
      <w:bookmarkEnd w:id="28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（请填写能源、节能方面培训等应用情况，包括培训需求、培训计划及培训的实施等相关内容。）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29" w:name="_Toc477867723"/>
      <w:bookmarkStart w:id="30" w:name="_Toc477882656"/>
      <w:bookmarkStart w:id="31" w:name="_Toc477795494"/>
      <w:r>
        <w:rPr>
          <w:rFonts w:ascii="仿宋_GB2312" w:hAnsi="仿宋_GB2312" w:cs="仿宋_GB2312" w:hint="eastAsia"/>
          <w:b/>
          <w:bCs/>
          <w:szCs w:val="32"/>
        </w:rPr>
        <w:t>（2）信息交流</w:t>
      </w:r>
      <w:bookmarkEnd w:id="29"/>
      <w:bookmarkEnd w:id="30"/>
      <w:bookmarkEnd w:id="31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（请填写能源管理内外部信息交流机制建立情况。）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32" w:name="_Toc477882657"/>
      <w:bookmarkStart w:id="33" w:name="_Toc477867724"/>
      <w:bookmarkStart w:id="34" w:name="_Toc477795495"/>
      <w:r>
        <w:rPr>
          <w:rFonts w:ascii="仿宋_GB2312" w:hAnsi="仿宋_GB2312" w:cs="仿宋_GB2312" w:hint="eastAsia"/>
          <w:b/>
          <w:bCs/>
          <w:szCs w:val="32"/>
        </w:rPr>
        <w:t>（3）体系文件</w:t>
      </w:r>
      <w:bookmarkEnd w:id="32"/>
      <w:bookmarkEnd w:id="33"/>
      <w:bookmarkEnd w:id="34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lastRenderedPageBreak/>
        <w:t>（请填写能源管理体系文件的规范性、全面性、可操作性及实际执行情况。）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35" w:name="_Toc477795497"/>
      <w:bookmarkStart w:id="36" w:name="_Toc477882659"/>
      <w:bookmarkStart w:id="37" w:name="_Toc477867726"/>
      <w:r>
        <w:rPr>
          <w:rFonts w:ascii="仿宋_GB2312" w:hAnsi="仿宋_GB2312" w:cs="仿宋_GB2312" w:hint="eastAsia"/>
          <w:b/>
          <w:bCs/>
          <w:szCs w:val="32"/>
        </w:rPr>
        <w:t>（4）运行控制</w:t>
      </w:r>
      <w:bookmarkEnd w:id="35"/>
      <w:bookmarkEnd w:id="36"/>
      <w:bookmarkEnd w:id="37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（请填写重要能源使用的识别、策划、程序建立、运行控制及宣贯培训相关内容。）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（5）设计</w:t>
      </w:r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（请填写新、改、扩建项目是否进行节能评估及评审，及在设计阶段是否考虑能源绩效的改进）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38" w:name="_Toc477867727"/>
      <w:bookmarkStart w:id="39" w:name="_Toc477795498"/>
      <w:bookmarkStart w:id="40" w:name="_Toc477882660"/>
      <w:r>
        <w:rPr>
          <w:rFonts w:ascii="仿宋_GB2312" w:hAnsi="仿宋_GB2312" w:cs="仿宋_GB2312" w:hint="eastAsia"/>
          <w:b/>
          <w:bCs/>
          <w:szCs w:val="32"/>
        </w:rPr>
        <w:t>（6）能源服务、产品、设备和能源采购</w:t>
      </w:r>
      <w:bookmarkEnd w:id="38"/>
      <w:bookmarkEnd w:id="39"/>
      <w:bookmarkEnd w:id="40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（请填写能源服务、产品、设备和能源采购过程中是否有能效评价。）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41" w:name="_Toc477882661"/>
      <w:r>
        <w:rPr>
          <w:rFonts w:ascii="仿宋_GB2312" w:hAnsi="仿宋_GB2312" w:cs="仿宋_GB2312" w:hint="eastAsia"/>
          <w:b/>
          <w:bCs/>
          <w:szCs w:val="32"/>
        </w:rPr>
        <w:t>4.体系检查</w:t>
      </w:r>
      <w:bookmarkEnd w:id="41"/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42" w:name="_Toc477795500"/>
      <w:bookmarkStart w:id="43" w:name="_Toc477882662"/>
      <w:bookmarkStart w:id="44" w:name="_Toc477867729"/>
      <w:r>
        <w:rPr>
          <w:rFonts w:ascii="仿宋_GB2312" w:hAnsi="仿宋_GB2312" w:cs="仿宋_GB2312" w:hint="eastAsia"/>
          <w:b/>
          <w:bCs/>
          <w:szCs w:val="32"/>
        </w:rPr>
        <w:t>（1）检查测量与分析</w:t>
      </w:r>
      <w:bookmarkEnd w:id="42"/>
      <w:bookmarkEnd w:id="43"/>
      <w:bookmarkEnd w:id="44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（请填写识别决定能源绩效的关键特性并进行监视、测量和分析情况。）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（2）合</w:t>
      </w:r>
      <w:proofErr w:type="gramStart"/>
      <w:r>
        <w:rPr>
          <w:rFonts w:ascii="仿宋_GB2312" w:hAnsi="仿宋_GB2312" w:cs="仿宋_GB2312" w:hint="eastAsia"/>
          <w:b/>
          <w:bCs/>
          <w:szCs w:val="32"/>
        </w:rPr>
        <w:t>规</w:t>
      </w:r>
      <w:proofErr w:type="gramEnd"/>
      <w:r>
        <w:rPr>
          <w:rFonts w:ascii="仿宋_GB2312" w:hAnsi="仿宋_GB2312" w:cs="仿宋_GB2312" w:hint="eastAsia"/>
          <w:b/>
          <w:bCs/>
          <w:szCs w:val="32"/>
        </w:rPr>
        <w:t>性评价</w:t>
      </w:r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（请填写法律法规及其他要求的合</w:t>
      </w:r>
      <w:proofErr w:type="gramStart"/>
      <w:r>
        <w:rPr>
          <w:rFonts w:ascii="仿宋_GB2312" w:hAnsi="仿宋_GB2312" w:cs="仿宋_GB2312" w:hint="eastAsia"/>
          <w:bCs/>
          <w:szCs w:val="32"/>
        </w:rPr>
        <w:t>规</w:t>
      </w:r>
      <w:proofErr w:type="gramEnd"/>
      <w:r>
        <w:rPr>
          <w:rFonts w:ascii="仿宋_GB2312" w:hAnsi="仿宋_GB2312" w:cs="仿宋_GB2312" w:hint="eastAsia"/>
          <w:bCs/>
          <w:szCs w:val="32"/>
        </w:rPr>
        <w:t>性评价等相关情况。）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45" w:name="_Toc477867730"/>
      <w:bookmarkStart w:id="46" w:name="_Toc477882663"/>
      <w:bookmarkStart w:id="47" w:name="_Toc477795501"/>
      <w:r>
        <w:rPr>
          <w:rFonts w:ascii="仿宋_GB2312" w:hAnsi="仿宋_GB2312" w:cs="仿宋_GB2312" w:hint="eastAsia"/>
          <w:b/>
          <w:bCs/>
          <w:szCs w:val="32"/>
        </w:rPr>
        <w:t>（3）内部审核</w:t>
      </w:r>
      <w:bookmarkEnd w:id="45"/>
      <w:bookmarkEnd w:id="46"/>
      <w:bookmarkEnd w:id="47"/>
    </w:p>
    <w:p w:rsidR="00C6701A" w:rsidRDefault="00C6701A" w:rsidP="00C6701A">
      <w:pPr>
        <w:spacing w:line="480" w:lineRule="exact"/>
        <w:ind w:firstLineChars="200" w:firstLine="596"/>
        <w:rPr>
          <w:rFonts w:ascii="仿宋_GB2312" w:hAnsi="仿宋_GB2312" w:cs="仿宋_GB2312" w:hint="eastAsia"/>
          <w:bCs/>
          <w:spacing w:val="-11"/>
          <w:szCs w:val="32"/>
        </w:rPr>
      </w:pPr>
      <w:r>
        <w:rPr>
          <w:rFonts w:ascii="仿宋_GB2312" w:hAnsi="仿宋_GB2312" w:cs="仿宋_GB2312" w:hint="eastAsia"/>
          <w:bCs/>
          <w:spacing w:val="-11"/>
          <w:szCs w:val="32"/>
        </w:rPr>
        <w:t>（请填写内部审核的时间、计划、方案，职责分配等相关内容。）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48" w:name="_Toc477795502"/>
      <w:bookmarkStart w:id="49" w:name="_Toc477882664"/>
      <w:bookmarkStart w:id="50" w:name="_Toc477867731"/>
      <w:r>
        <w:rPr>
          <w:rFonts w:ascii="仿宋_GB2312" w:hAnsi="仿宋_GB2312" w:cs="仿宋_GB2312" w:hint="eastAsia"/>
          <w:b/>
          <w:bCs/>
          <w:szCs w:val="32"/>
        </w:rPr>
        <w:t>（4）不符合、纠正、纠正措施和预防措施</w:t>
      </w:r>
      <w:bookmarkEnd w:id="48"/>
      <w:bookmarkEnd w:id="49"/>
      <w:bookmarkEnd w:id="50"/>
    </w:p>
    <w:p w:rsidR="00C6701A" w:rsidRDefault="00C6701A" w:rsidP="00C6701A">
      <w:pPr>
        <w:spacing w:line="480" w:lineRule="exact"/>
        <w:ind w:firstLineChars="200" w:firstLine="548"/>
        <w:rPr>
          <w:rFonts w:ascii="仿宋_GB2312" w:hAnsi="仿宋_GB2312" w:cs="仿宋_GB2312" w:hint="eastAsia"/>
          <w:bCs/>
          <w:spacing w:val="-23"/>
          <w:szCs w:val="32"/>
        </w:rPr>
      </w:pPr>
      <w:r>
        <w:rPr>
          <w:rFonts w:ascii="仿宋_GB2312" w:hAnsi="仿宋_GB2312" w:cs="仿宋_GB2312" w:hint="eastAsia"/>
          <w:bCs/>
          <w:spacing w:val="-23"/>
          <w:szCs w:val="32"/>
        </w:rPr>
        <w:t>（请填写不符合的纠正、纠正措施及预防措施的制定及落实情况。）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51" w:name="_Toc477882665"/>
      <w:bookmarkStart w:id="52" w:name="_Toc477795503"/>
      <w:bookmarkStart w:id="53" w:name="_Toc477867732"/>
      <w:r>
        <w:rPr>
          <w:rFonts w:ascii="仿宋_GB2312" w:hAnsi="仿宋_GB2312" w:cs="仿宋_GB2312" w:hint="eastAsia"/>
          <w:b/>
          <w:bCs/>
          <w:szCs w:val="32"/>
        </w:rPr>
        <w:t>（5）记录控制</w:t>
      </w:r>
      <w:bookmarkEnd w:id="51"/>
      <w:bookmarkEnd w:id="52"/>
      <w:bookmarkEnd w:id="53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（请填写记录的建立、识别及保存情况，以及记录是否清晰且可追溯性等情况。）</w:t>
      </w:r>
    </w:p>
    <w:p w:rsidR="00C6701A" w:rsidRDefault="00C6701A" w:rsidP="00C6701A">
      <w:pPr>
        <w:spacing w:line="480" w:lineRule="exact"/>
        <w:ind w:firstLineChars="200" w:firstLine="618"/>
        <w:outlineLvl w:val="3"/>
        <w:rPr>
          <w:rFonts w:ascii="仿宋_GB2312" w:hAnsi="仿宋_GB2312" w:cs="仿宋_GB2312" w:hint="eastAsia"/>
          <w:b/>
          <w:bCs/>
          <w:szCs w:val="32"/>
        </w:rPr>
      </w:pPr>
      <w:bookmarkStart w:id="54" w:name="_Toc477882666"/>
      <w:r>
        <w:rPr>
          <w:rFonts w:ascii="仿宋_GB2312" w:hAnsi="仿宋_GB2312" w:cs="仿宋_GB2312" w:hint="eastAsia"/>
          <w:b/>
          <w:bCs/>
          <w:szCs w:val="32"/>
        </w:rPr>
        <w:t>5.管理评审</w:t>
      </w:r>
      <w:bookmarkEnd w:id="54"/>
    </w:p>
    <w:p w:rsidR="00C6701A" w:rsidRDefault="00C6701A" w:rsidP="00C6701A">
      <w:pPr>
        <w:spacing w:line="48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（请填写管理评审时间、记录及评审输入输出相关情况。）</w:t>
      </w:r>
    </w:p>
    <w:p w:rsidR="00C6701A" w:rsidRDefault="00C6701A" w:rsidP="00C6701A">
      <w:pPr>
        <w:spacing w:line="50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bookmarkStart w:id="55" w:name="_Toc477882667"/>
      <w:r>
        <w:rPr>
          <w:rFonts w:ascii="黑体" w:eastAsia="黑体" w:hAnsi="黑体" w:cs="黑体" w:hint="eastAsia"/>
          <w:szCs w:val="32"/>
        </w:rPr>
        <w:t>七、能源绩效成果</w:t>
      </w:r>
      <w:bookmarkEnd w:id="55"/>
    </w:p>
    <w:p w:rsidR="00C6701A" w:rsidRDefault="00C6701A" w:rsidP="00C6701A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lastRenderedPageBreak/>
        <w:t>（请列出能源管理体系建设目标完成情况。）</w:t>
      </w:r>
    </w:p>
    <w:p w:rsidR="00C6701A" w:rsidRDefault="00C6701A" w:rsidP="00C6701A">
      <w:pPr>
        <w:spacing w:line="500" w:lineRule="exact"/>
        <w:jc w:val="center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表3 企业能源绩效对比情况表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276"/>
        <w:gridCol w:w="1985"/>
        <w:gridCol w:w="1984"/>
        <w:gridCol w:w="1843"/>
      </w:tblGrid>
      <w:tr w:rsidR="00C6701A" w:rsidTr="000A3618">
        <w:trPr>
          <w:trHeight w:val="605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年份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年初目标值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实际完成值</w:t>
            </w:r>
          </w:p>
        </w:tc>
      </w:tr>
      <w:tr w:rsidR="00C6701A" w:rsidTr="000A3618">
        <w:trPr>
          <w:trHeight w:val="577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6701A" w:rsidTr="000A3618">
        <w:trPr>
          <w:trHeight w:val="605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6701A" w:rsidTr="000A3618">
        <w:trPr>
          <w:trHeight w:val="577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6701A" w:rsidTr="000A3618">
        <w:trPr>
          <w:trHeight w:val="605"/>
          <w:jc w:val="center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6701A" w:rsidRDefault="00C6701A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C6701A" w:rsidRDefault="00C6701A" w:rsidP="00C6701A">
      <w:pPr>
        <w:spacing w:line="500" w:lineRule="exact"/>
        <w:ind w:firstLineChars="200" w:firstLine="616"/>
        <w:jc w:val="left"/>
        <w:outlineLvl w:val="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八、附件清单</w:t>
      </w:r>
    </w:p>
    <w:p w:rsidR="00C6701A" w:rsidRDefault="00C6701A" w:rsidP="00C6701A">
      <w:pPr>
        <w:rPr>
          <w:rFonts w:eastAsia="宋体" w:hint="eastAsia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01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01A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517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2021-01-15T08:34:00Z</dcterms:created>
  <dcterms:modified xsi:type="dcterms:W3CDTF">2021-01-15T08:34:00Z</dcterms:modified>
</cp:coreProperties>
</file>