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CC" w:rsidRDefault="00A417CC" w:rsidP="00A417CC">
      <w:pPr>
        <w:spacing w:line="480" w:lineRule="exact"/>
        <w:rPr>
          <w:rFonts w:ascii="黑体" w:eastAsia="黑体" w:hAnsi="黑体" w:cs="黑体" w:hint="eastAsia"/>
          <w:bCs/>
          <w:szCs w:val="32"/>
        </w:rPr>
      </w:pPr>
      <w:r>
        <w:rPr>
          <w:rFonts w:ascii="黑体" w:eastAsia="黑体" w:hAnsi="黑体" w:cs="黑体" w:hint="eastAsia"/>
          <w:bCs/>
          <w:kern w:val="44"/>
          <w:szCs w:val="48"/>
          <w:lang/>
        </w:rPr>
        <w:t>附件1</w:t>
      </w:r>
    </w:p>
    <w:p w:rsidR="00A417CC" w:rsidRDefault="00A417CC" w:rsidP="00A417CC">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上海市软件和信息服务产业基地申报条件</w:t>
      </w:r>
    </w:p>
    <w:p w:rsidR="00A417CC" w:rsidRDefault="00A417CC" w:rsidP="00A417CC">
      <w:pPr>
        <w:adjustRightInd w:val="0"/>
        <w:snapToGrid w:val="0"/>
        <w:spacing w:line="480" w:lineRule="exact"/>
        <w:ind w:firstLineChars="200" w:firstLine="618"/>
        <w:rPr>
          <w:rFonts w:ascii="方正仿宋_GB2312" w:eastAsia="方正仿宋_GB2312" w:hAnsi="方正仿宋_GB2312" w:cs="方正仿宋_GB2312" w:hint="eastAsia"/>
          <w:szCs w:val="32"/>
        </w:rPr>
      </w:pPr>
      <w:r>
        <w:rPr>
          <w:rFonts w:ascii="方正仿宋_GB2312" w:eastAsia="方正仿宋_GB2312" w:hAnsi="方正仿宋_GB2312" w:cs="方正仿宋_GB2312" w:hint="eastAsia"/>
          <w:b/>
          <w:bCs/>
          <w:szCs w:val="32"/>
        </w:rPr>
        <w:t xml:space="preserve"> </w:t>
      </w:r>
    </w:p>
    <w:p w:rsidR="00A417CC" w:rsidRDefault="00A417CC" w:rsidP="00A417CC">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bCs/>
          <w:kern w:val="44"/>
          <w:szCs w:val="48"/>
          <w:lang/>
        </w:rPr>
        <w:t>为贯彻落实“数字中国”战略，促进城市数字化转型发展，培育壮大上海数字经济新动能，发挥市级软件和信息服务产业基地承载产业、集聚资源、服务企业、研发创新、人尽其才的引领优势，特制定本条件。</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（一）产业定位</w:t>
      </w:r>
    </w:p>
    <w:p w:rsidR="00A417CC" w:rsidRDefault="00A417CC" w:rsidP="00A417CC">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bCs/>
          <w:kern w:val="44"/>
          <w:szCs w:val="48"/>
          <w:lang/>
        </w:rPr>
        <w:t>上海市软件和信息服务产业基地的主体产业必须定位于软件和信息技术服务业，即以软件、信息技术、嵌入式系统等产品和服务为基准，衍生或创新发展形成的各类新业态、新模式，包括但不限于下述产业</w:t>
      </w:r>
      <w:proofErr w:type="gramStart"/>
      <w:r>
        <w:rPr>
          <w:rFonts w:ascii="仿宋_GB2312" w:hAnsi="仿宋_GB2312" w:cs="仿宋_GB2312" w:hint="eastAsia"/>
          <w:bCs/>
          <w:kern w:val="44"/>
          <w:szCs w:val="48"/>
          <w:lang/>
        </w:rPr>
        <w:t>业</w:t>
      </w:r>
      <w:proofErr w:type="gramEnd"/>
      <w:r>
        <w:rPr>
          <w:rFonts w:ascii="仿宋_GB2312" w:hAnsi="仿宋_GB2312" w:cs="仿宋_GB2312" w:hint="eastAsia"/>
          <w:bCs/>
          <w:kern w:val="44"/>
          <w:szCs w:val="48"/>
          <w:lang/>
        </w:rPr>
        <w:t>态：</w:t>
      </w:r>
      <w:bookmarkStart w:id="0" w:name="_Hlk69922839"/>
      <w:r>
        <w:rPr>
          <w:rFonts w:ascii="仿宋_GB2312" w:hAnsi="仿宋_GB2312" w:cs="仿宋_GB2312" w:hint="eastAsia"/>
          <w:bCs/>
          <w:kern w:val="44"/>
          <w:szCs w:val="48"/>
          <w:lang/>
        </w:rPr>
        <w:t>软件、互联网+、移动互联网、数字内容、数字互动娱乐、网络文化、数据服务、人工智能、大数据、智能制造、金融信息服务、贸易信息服务、科技金融、云计算、工业软件、工业互联网、区块链、集成电路设计、基础软件、信息安全、数据服务、信息消费、电子商务、互联网教育、物联网、5G、新基建</w:t>
      </w:r>
      <w:bookmarkEnd w:id="0"/>
      <w:r>
        <w:rPr>
          <w:rFonts w:ascii="仿宋_GB2312" w:hAnsi="仿宋_GB2312" w:cs="仿宋_GB2312" w:hint="eastAsia"/>
          <w:bCs/>
          <w:kern w:val="44"/>
          <w:szCs w:val="48"/>
          <w:lang/>
        </w:rPr>
        <w:t>等。综合基地拥有细分产业</w:t>
      </w:r>
      <w:proofErr w:type="gramStart"/>
      <w:r>
        <w:rPr>
          <w:rFonts w:ascii="仿宋_GB2312" w:hAnsi="仿宋_GB2312" w:cs="仿宋_GB2312" w:hint="eastAsia"/>
          <w:bCs/>
          <w:kern w:val="44"/>
          <w:szCs w:val="48"/>
          <w:lang/>
        </w:rPr>
        <w:t>业态不</w:t>
      </w:r>
      <w:proofErr w:type="gramEnd"/>
      <w:r>
        <w:rPr>
          <w:rFonts w:ascii="仿宋_GB2312" w:hAnsi="仿宋_GB2312" w:cs="仿宋_GB2312" w:hint="eastAsia"/>
          <w:bCs/>
          <w:kern w:val="44"/>
          <w:szCs w:val="48"/>
          <w:lang/>
        </w:rPr>
        <w:t>少于3个，主体产业产值比重不低于50%，特色基地拥有细分产业</w:t>
      </w:r>
      <w:proofErr w:type="gramStart"/>
      <w:r>
        <w:rPr>
          <w:rFonts w:ascii="仿宋_GB2312" w:hAnsi="仿宋_GB2312" w:cs="仿宋_GB2312" w:hint="eastAsia"/>
          <w:bCs/>
          <w:kern w:val="44"/>
          <w:szCs w:val="48"/>
          <w:lang/>
        </w:rPr>
        <w:t>业</w:t>
      </w:r>
      <w:proofErr w:type="gramEnd"/>
      <w:r>
        <w:rPr>
          <w:rFonts w:ascii="仿宋_GB2312" w:hAnsi="仿宋_GB2312" w:cs="仿宋_GB2312" w:hint="eastAsia"/>
          <w:bCs/>
          <w:kern w:val="44"/>
          <w:szCs w:val="48"/>
          <w:lang/>
        </w:rPr>
        <w:t>态1-2个，主体产业产值比重不低于70%。</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（二）开发规模</w:t>
      </w:r>
    </w:p>
    <w:p w:rsidR="00A417CC" w:rsidRDefault="00A417CC" w:rsidP="00A417CC">
      <w:pPr>
        <w:adjustRightInd w:val="0"/>
        <w:snapToGrid w:val="0"/>
        <w:spacing w:line="480" w:lineRule="exact"/>
        <w:ind w:firstLineChars="200" w:firstLine="616"/>
        <w:rPr>
          <w:rFonts w:ascii="仿宋_GB2312" w:hAnsi="仿宋_GB2312" w:cs="仿宋_GB2312" w:hint="eastAsia"/>
          <w:szCs w:val="32"/>
        </w:rPr>
      </w:pPr>
      <w:r>
        <w:rPr>
          <w:rFonts w:ascii="仿宋_GB2312" w:hAnsi="仿宋_GB2312" w:cs="仿宋_GB2312" w:hint="eastAsia"/>
          <w:bCs/>
          <w:kern w:val="44"/>
          <w:szCs w:val="48"/>
          <w:lang/>
        </w:rPr>
        <w:t>上海市软件和信息服务产业基地应具有明确的四至范围（申报主体属同一法人名下、同一区域内的分园不超过三个为限），综合基地规划占地面积不少于20公顷，或办公面积8万平方米以上，特色基地规划占地面积不少于5公顷，或办公面积5万平方米以上；土地节约利用水平、开发强度原则上应按照规划允许的最大值确定，一般不低于2.0-3.0。基地区域内步行10分钟，应当配套咖啡馆、小型超市、食堂、餐饮、体育健身场所、文化休闲场所、创业创新空间等，基地区域周边10分钟车程内，配套人才公寓（自建或合作）、公租房、</w:t>
      </w:r>
      <w:r>
        <w:rPr>
          <w:rFonts w:ascii="仿宋_GB2312" w:hAnsi="仿宋_GB2312" w:cs="仿宋_GB2312" w:hint="eastAsia"/>
          <w:bCs/>
          <w:kern w:val="44"/>
          <w:szCs w:val="48"/>
          <w:lang/>
        </w:rPr>
        <w:lastRenderedPageBreak/>
        <w:t>商品住房、租赁住房、大型超市等；基地全路网密度不低于8-10公里/平方公里(特色基地除外)，新建基地应当按照同步规划、同步设计、同步建设、同步投用的要求落实公交配套设施，减少远距离通勤交通。</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（三）产业能级</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1、培育型产业基地</w:t>
      </w:r>
    </w:p>
    <w:p w:rsidR="00A417CC" w:rsidRDefault="00A417CC" w:rsidP="00A417CC">
      <w:pPr>
        <w:adjustRightInd w:val="0"/>
        <w:snapToGrid w:val="0"/>
        <w:spacing w:line="480" w:lineRule="exact"/>
        <w:ind w:firstLineChars="200" w:firstLine="616"/>
        <w:rPr>
          <w:rFonts w:ascii="仿宋_GB2312" w:hAnsi="仿宋_GB2312" w:cs="仿宋_GB2312" w:hint="eastAsia"/>
          <w:bCs/>
          <w:kern w:val="44"/>
          <w:szCs w:val="48"/>
          <w:lang/>
        </w:rPr>
      </w:pPr>
      <w:r>
        <w:rPr>
          <w:rFonts w:ascii="仿宋_GB2312" w:hAnsi="仿宋_GB2312" w:cs="仿宋_GB2312" w:hint="eastAsia"/>
          <w:bCs/>
          <w:kern w:val="44"/>
          <w:szCs w:val="48"/>
          <w:lang/>
        </w:rPr>
        <w:t>上海市软件和信息服务产业基地综合基地年度经营收入应达到30亿元，其中软件和信息服务业经营收入超过60%，特色基地年度经营收入应达到3亿元，其中软件和信息服务业经营收入超过60% ；综合基地就业人数3000人以上，其中软件和信息服务业就业人数1800人以上，特色基地就业人数300人以上，其中软件和信息服务业就业人数180人以上；基地具备优质企业，其中包括</w:t>
      </w:r>
      <w:proofErr w:type="gramStart"/>
      <w:r>
        <w:rPr>
          <w:rFonts w:ascii="仿宋_GB2312" w:hAnsi="仿宋_GB2312" w:cs="仿宋_GB2312" w:hint="eastAsia"/>
          <w:bCs/>
          <w:kern w:val="44"/>
          <w:szCs w:val="48"/>
          <w:lang/>
        </w:rPr>
        <w:t>近业务</w:t>
      </w:r>
      <w:proofErr w:type="gramEnd"/>
      <w:r>
        <w:rPr>
          <w:rFonts w:ascii="仿宋_GB2312" w:hAnsi="仿宋_GB2312" w:cs="仿宋_GB2312" w:hint="eastAsia"/>
          <w:bCs/>
          <w:kern w:val="44"/>
          <w:szCs w:val="48"/>
          <w:lang/>
        </w:rPr>
        <w:t>收入超过亿元的企业、国家规划布局内重点软件企业、技术创新能力强且年收入超2000万元企业等；综合基地和特色基地内企业拥有自主知识产权的比例高于全市平均值。</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2、示范型产业基地</w:t>
      </w:r>
    </w:p>
    <w:p w:rsidR="00A417CC" w:rsidRDefault="00A417CC" w:rsidP="00A417CC">
      <w:pPr>
        <w:adjustRightInd w:val="0"/>
        <w:snapToGrid w:val="0"/>
        <w:spacing w:line="480" w:lineRule="exact"/>
        <w:ind w:firstLineChars="200" w:firstLine="616"/>
        <w:rPr>
          <w:rFonts w:ascii="仿宋_GB2312" w:hAnsi="仿宋_GB2312" w:cs="仿宋_GB2312" w:hint="eastAsia"/>
          <w:bCs/>
          <w:kern w:val="44"/>
          <w:szCs w:val="48"/>
          <w:lang/>
        </w:rPr>
      </w:pPr>
      <w:r>
        <w:rPr>
          <w:rFonts w:ascii="仿宋_GB2312" w:hAnsi="仿宋_GB2312" w:cs="仿宋_GB2312" w:hint="eastAsia"/>
          <w:bCs/>
          <w:kern w:val="44"/>
          <w:szCs w:val="48"/>
          <w:lang/>
        </w:rPr>
        <w:t>上海市软件和信息服务产业基地综合基地年度经营收入应达到100亿元，其中软件和信息服务业经营收入超过60%，特色基地年度经营收入应达到10亿元，其中软件和信息服务业经营收入超过60%；综合基地就业人数8000人以上，其中软件和信息服务业就业人数4800人以上，特色基地就业人数1000人以上，其中软件和信息服务业就业人数600人以上；基地具备优质企业，其中包括</w:t>
      </w:r>
      <w:proofErr w:type="gramStart"/>
      <w:r>
        <w:rPr>
          <w:rFonts w:ascii="仿宋_GB2312" w:hAnsi="仿宋_GB2312" w:cs="仿宋_GB2312" w:hint="eastAsia"/>
          <w:bCs/>
          <w:kern w:val="44"/>
          <w:szCs w:val="48"/>
          <w:lang/>
        </w:rPr>
        <w:t>近业务</w:t>
      </w:r>
      <w:proofErr w:type="gramEnd"/>
      <w:r>
        <w:rPr>
          <w:rFonts w:ascii="仿宋_GB2312" w:hAnsi="仿宋_GB2312" w:cs="仿宋_GB2312" w:hint="eastAsia"/>
          <w:bCs/>
          <w:kern w:val="44"/>
          <w:szCs w:val="48"/>
          <w:lang/>
        </w:rPr>
        <w:t>收入超过亿元的企业、国家规划布局内重点软件企业、技术创新能力强且年收入超2000万元企业等；综合基地和特色基地内企业拥有自主知识产权的比例高于全市平均值。</w:t>
      </w:r>
    </w:p>
    <w:p w:rsidR="00A417CC" w:rsidRDefault="00A417CC" w:rsidP="00A417CC">
      <w:pPr>
        <w:adjustRightInd w:val="0"/>
        <w:snapToGrid w:val="0"/>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 xml:space="preserve">（四）招商引资 </w:t>
      </w:r>
    </w:p>
    <w:p w:rsidR="00A417CC" w:rsidRDefault="00A417CC" w:rsidP="00A417CC">
      <w:pPr>
        <w:adjustRightInd w:val="0"/>
        <w:snapToGrid w:val="0"/>
        <w:spacing w:line="480" w:lineRule="exact"/>
        <w:ind w:firstLineChars="200" w:firstLine="616"/>
        <w:rPr>
          <w:rFonts w:ascii="仿宋_GB2312" w:hAnsi="仿宋_GB2312" w:cs="仿宋_GB2312" w:hint="eastAsia"/>
          <w:bCs/>
          <w:kern w:val="44"/>
          <w:szCs w:val="48"/>
          <w:lang/>
        </w:rPr>
      </w:pPr>
      <w:r>
        <w:rPr>
          <w:rFonts w:ascii="仿宋_GB2312" w:hAnsi="仿宋_GB2312" w:cs="仿宋_GB2312" w:hint="eastAsia"/>
          <w:bCs/>
          <w:kern w:val="44"/>
          <w:szCs w:val="48"/>
          <w:lang/>
        </w:rPr>
        <w:t>上海市软件和信息服务产业基地应拥有固定的招商引资</w:t>
      </w:r>
      <w:r>
        <w:rPr>
          <w:rFonts w:ascii="仿宋_GB2312" w:hAnsi="仿宋_GB2312" w:cs="仿宋_GB2312" w:hint="eastAsia"/>
          <w:bCs/>
          <w:kern w:val="44"/>
          <w:szCs w:val="48"/>
          <w:lang/>
        </w:rPr>
        <w:lastRenderedPageBreak/>
        <w:t>团队，聚焦主体产业链、创新链，加大引进企业力度，保障空间资源充分利用；在空间租赁、物业服务、办公装修等方面，要因企施策，主动释放优质资源，提供优惠支持；在产业合作、市场拓展、技术服务等企业需求方面，要主动搭台，集聚行业应用、场景应用、商业服务、技术服务、数据开放等资源；综合基地企业</w:t>
      </w:r>
      <w:proofErr w:type="gramStart"/>
      <w:r>
        <w:rPr>
          <w:rFonts w:ascii="仿宋_GB2312" w:hAnsi="仿宋_GB2312" w:cs="仿宋_GB2312" w:hint="eastAsia"/>
          <w:bCs/>
          <w:kern w:val="44"/>
          <w:szCs w:val="48"/>
          <w:lang/>
        </w:rPr>
        <w:t>入驻率</w:t>
      </w:r>
      <w:proofErr w:type="gramEnd"/>
      <w:r>
        <w:rPr>
          <w:rFonts w:ascii="仿宋_GB2312" w:hAnsi="仿宋_GB2312" w:cs="仿宋_GB2312" w:hint="eastAsia"/>
          <w:bCs/>
          <w:kern w:val="44"/>
          <w:szCs w:val="48"/>
          <w:lang/>
        </w:rPr>
        <w:t>应超过70%，特色基地企业</w:t>
      </w:r>
      <w:proofErr w:type="gramStart"/>
      <w:r>
        <w:rPr>
          <w:rFonts w:ascii="仿宋_GB2312" w:hAnsi="仿宋_GB2312" w:cs="仿宋_GB2312" w:hint="eastAsia"/>
          <w:bCs/>
          <w:kern w:val="44"/>
          <w:szCs w:val="48"/>
          <w:lang/>
        </w:rPr>
        <w:t>入驻率</w:t>
      </w:r>
      <w:proofErr w:type="gramEnd"/>
      <w:r>
        <w:rPr>
          <w:rFonts w:ascii="仿宋_GB2312" w:hAnsi="仿宋_GB2312" w:cs="仿宋_GB2312" w:hint="eastAsia"/>
          <w:bCs/>
          <w:kern w:val="44"/>
          <w:szCs w:val="48"/>
          <w:lang/>
        </w:rPr>
        <w:t>应超过75%，拥有一定数量的上市企业、高新技术企业、科技小巨人企业、专精特新企业、企业技术中心等科技含量高、成长潜力好的企业。</w:t>
      </w:r>
    </w:p>
    <w:p w:rsidR="00A417CC" w:rsidRDefault="00A417CC" w:rsidP="00A417CC">
      <w:pPr>
        <w:adjustRightInd w:val="0"/>
        <w:snapToGrid w:val="0"/>
        <w:spacing w:line="480" w:lineRule="exact"/>
        <w:ind w:firstLineChars="200" w:firstLine="616"/>
        <w:rPr>
          <w:rFonts w:ascii="仿宋_GB2312" w:hAnsi="仿宋_GB2312" w:cs="仿宋_GB2312" w:hint="eastAsia"/>
          <w:bCs/>
          <w:kern w:val="44"/>
          <w:szCs w:val="48"/>
          <w:lang/>
        </w:rPr>
      </w:pPr>
    </w:p>
    <w:p w:rsidR="00A417CC" w:rsidRDefault="00A417CC" w:rsidP="00A417CC">
      <w:pPr>
        <w:adjustRightInd w:val="0"/>
        <w:snapToGrid w:val="0"/>
        <w:spacing w:line="600" w:lineRule="exact"/>
        <w:jc w:val="center"/>
        <w:rPr>
          <w:rFonts w:ascii="仿宋_GB2312" w:hAnsi="仿宋_GB2312" w:cs="宋体" w:hint="eastAsia"/>
          <w:b/>
          <w:kern w:val="44"/>
          <w:sz w:val="28"/>
          <w:szCs w:val="28"/>
          <w:lang/>
        </w:rPr>
      </w:pPr>
      <w:r>
        <w:rPr>
          <w:rFonts w:ascii="仿宋_GB2312" w:hAnsi="仿宋_GB2312" w:cs="宋体" w:hint="eastAsia"/>
          <w:b/>
          <w:kern w:val="44"/>
          <w:sz w:val="28"/>
          <w:szCs w:val="28"/>
          <w:lang/>
        </w:rPr>
        <w:t>上海市软件和信息服务产业基地产业申报条件一览表</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blLayout w:type="fixed"/>
        <w:tblLook w:val="0000"/>
      </w:tblPr>
      <w:tblGrid>
        <w:gridCol w:w="900"/>
        <w:gridCol w:w="1851"/>
        <w:gridCol w:w="2213"/>
        <w:gridCol w:w="1276"/>
        <w:gridCol w:w="1276"/>
        <w:gridCol w:w="1276"/>
        <w:gridCol w:w="1275"/>
      </w:tblGrid>
      <w:tr w:rsidR="00A417CC" w:rsidTr="00342080">
        <w:trPr>
          <w:trHeight w:val="365"/>
          <w:tblHeader/>
          <w:jc w:val="center"/>
        </w:trPr>
        <w:tc>
          <w:tcPr>
            <w:tcW w:w="900" w:type="dxa"/>
            <w:vMerge w:val="restart"/>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序号</w:t>
            </w:r>
          </w:p>
        </w:tc>
        <w:tc>
          <w:tcPr>
            <w:tcW w:w="1851" w:type="dxa"/>
            <w:vMerge w:val="restart"/>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分 类</w:t>
            </w:r>
          </w:p>
        </w:tc>
        <w:tc>
          <w:tcPr>
            <w:tcW w:w="2213" w:type="dxa"/>
            <w:vMerge w:val="restart"/>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指  标</w:t>
            </w:r>
          </w:p>
        </w:tc>
        <w:tc>
          <w:tcPr>
            <w:tcW w:w="5103" w:type="dxa"/>
            <w:gridSpan w:val="4"/>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达标条件</w:t>
            </w:r>
          </w:p>
        </w:tc>
      </w:tr>
      <w:tr w:rsidR="00A417CC" w:rsidTr="00342080">
        <w:trPr>
          <w:trHeight w:val="365"/>
          <w:tblHeader/>
          <w:jc w:val="center"/>
        </w:trPr>
        <w:tc>
          <w:tcPr>
            <w:tcW w:w="900"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2213"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综合基地</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特色基地</w:t>
            </w:r>
          </w:p>
        </w:tc>
      </w:tr>
      <w:tr w:rsidR="00A417CC" w:rsidTr="00342080">
        <w:trPr>
          <w:trHeight w:val="431"/>
          <w:tblHeader/>
          <w:jc w:val="center"/>
        </w:trPr>
        <w:tc>
          <w:tcPr>
            <w:tcW w:w="900"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2213" w:type="dxa"/>
            <w:vMerge/>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示范型</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培育型</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示范型</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kern w:val="44"/>
                <w:sz w:val="24"/>
                <w:lang/>
              </w:rPr>
              <w:t>培育型</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1</w:t>
            </w:r>
          </w:p>
        </w:tc>
        <w:tc>
          <w:tcPr>
            <w:tcW w:w="1851" w:type="dxa"/>
            <w:vMerge w:val="restart"/>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（一）产业定位</w:t>
            </w: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细分产业</w:t>
            </w:r>
            <w:proofErr w:type="gramStart"/>
            <w:r>
              <w:rPr>
                <w:rFonts w:ascii="仿宋_GB2312" w:hAnsi="仿宋_GB2312" w:cs="仿宋_GB2312" w:hint="eastAsia"/>
                <w:bCs/>
                <w:kern w:val="44"/>
                <w:sz w:val="24"/>
                <w:lang/>
              </w:rPr>
              <w:t>业</w:t>
            </w:r>
            <w:proofErr w:type="gramEnd"/>
            <w:r>
              <w:rPr>
                <w:rFonts w:ascii="仿宋_GB2312" w:hAnsi="仿宋_GB2312" w:cs="仿宋_GB2312" w:hint="eastAsia"/>
                <w:bCs/>
                <w:kern w:val="44"/>
                <w:sz w:val="24"/>
                <w:lang/>
              </w:rPr>
              <w:t>态</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≧3个</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 xml:space="preserve"> 1-2个</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2</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主体产业产值比重</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kern w:val="44"/>
                <w:sz w:val="24"/>
                <w:lang/>
              </w:rPr>
              <w:t>≧50%</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≧70%</w:t>
            </w:r>
          </w:p>
        </w:tc>
      </w:tr>
      <w:tr w:rsidR="00A417CC" w:rsidTr="00342080">
        <w:trPr>
          <w:trHeight w:val="331"/>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3</w:t>
            </w:r>
          </w:p>
        </w:tc>
        <w:tc>
          <w:tcPr>
            <w:tcW w:w="1851" w:type="dxa"/>
            <w:vMerge w:val="restart"/>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（二）开发规模</w:t>
            </w: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四至范围</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有</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有</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有</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有</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4</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占地面积或办公面积</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≧20公顷或≧8万平米</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≧5公顷或≧5万平米</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5</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开发强度</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≧2.0-3.0</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≧2.0-3.0</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6</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产业用地比重</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≧40%</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≧40%</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7</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公共空间用地</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≧15%</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≧15%</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8</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基地公共配套</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步行10分钟</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步行10分钟</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hint="eastAsia"/>
                <w:bCs/>
                <w:kern w:val="44"/>
                <w:sz w:val="24"/>
                <w:lang/>
              </w:rPr>
            </w:pPr>
            <w:r>
              <w:rPr>
                <w:rFonts w:ascii="仿宋_GB2312" w:eastAsia="仿宋_GB2312" w:hAnsi="仿宋_GB2312" w:cs="仿宋_GB2312" w:hint="eastAsia"/>
                <w:bCs/>
                <w:kern w:val="44"/>
                <w:sz w:val="24"/>
                <w:lang/>
              </w:rPr>
              <w:t>9</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周边公共配套</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车程10分钟</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车程10分钟</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10</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基地全路网密度</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≧8-10公里/平方公里</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w:t>
            </w:r>
          </w:p>
        </w:tc>
      </w:tr>
      <w:tr w:rsidR="00A417CC" w:rsidTr="00342080">
        <w:trPr>
          <w:trHeight w:val="391"/>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11</w:t>
            </w:r>
          </w:p>
        </w:tc>
        <w:tc>
          <w:tcPr>
            <w:tcW w:w="1851" w:type="dxa"/>
            <w:vMerge w:val="restart"/>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r>
              <w:rPr>
                <w:rFonts w:ascii="仿宋_GB2312" w:hAnsi="仿宋_GB2312" w:cs="仿宋_GB2312" w:hint="eastAsia"/>
                <w:bCs/>
                <w:color w:val="000000"/>
                <w:kern w:val="44"/>
                <w:sz w:val="24"/>
                <w:lang/>
              </w:rPr>
              <w:t>（三）产业能级</w:t>
            </w: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年度经营收入</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100亿元</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30亿元</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10亿元</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3亿元</w:t>
            </w:r>
          </w:p>
        </w:tc>
      </w:tr>
      <w:tr w:rsidR="00A417CC" w:rsidTr="00342080">
        <w:trPr>
          <w:trHeight w:val="908"/>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12</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其中：软件和信息服务业年度经营收入占比</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13</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就业人数</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＞8000人</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＞3000人</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＞1000人</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＞300人</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14</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软件和信息服务业就业人数</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＞4800人</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＞1800人</w:t>
            </w:r>
          </w:p>
        </w:tc>
        <w:tc>
          <w:tcPr>
            <w:tcW w:w="1276"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＞600人</w:t>
            </w:r>
          </w:p>
        </w:tc>
        <w:tc>
          <w:tcPr>
            <w:tcW w:w="1275" w:type="dxa"/>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＞180人</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15</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jc w:val="left"/>
              <w:rPr>
                <w:rFonts w:ascii="仿宋_GB2312" w:hAnsi="仿宋_GB2312" w:cs="仿宋_GB2312" w:hint="eastAsia"/>
                <w:bCs/>
                <w:color w:val="FF0000"/>
                <w:kern w:val="44"/>
                <w:sz w:val="24"/>
                <w:lang/>
              </w:rPr>
            </w:pPr>
            <w:r>
              <w:rPr>
                <w:rFonts w:ascii="仿宋_GB2312" w:hAnsi="仿宋_GB2312" w:cs="仿宋_GB2312" w:hint="eastAsia"/>
                <w:bCs/>
                <w:kern w:val="44"/>
                <w:sz w:val="24"/>
                <w:lang/>
              </w:rPr>
              <w:t>基地具备优质企业</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10</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5</w:t>
            </w:r>
          </w:p>
        </w:tc>
      </w:tr>
      <w:tr w:rsidR="00A417CC" w:rsidTr="00342080">
        <w:trPr>
          <w:trHeight w:val="90"/>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16</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FF0000"/>
                <w:kern w:val="44"/>
                <w:sz w:val="24"/>
                <w:lang/>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自主知识产权数量比例</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高于全市平均水平</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高于全市平均水平</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17</w:t>
            </w:r>
          </w:p>
        </w:tc>
        <w:tc>
          <w:tcPr>
            <w:tcW w:w="1851" w:type="dxa"/>
            <w:vMerge w:val="restart"/>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（四）招商引资</w:t>
            </w: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部门配置</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有</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有</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18</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sz w:val="24"/>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惠企措施</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≧3项</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≧3项</w:t>
            </w:r>
          </w:p>
        </w:tc>
      </w:tr>
      <w:tr w:rsidR="00A417CC" w:rsidTr="00342080">
        <w:trPr>
          <w:trHeight w:val="90"/>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lastRenderedPageBreak/>
              <w:t>19</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sz w:val="24"/>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kern w:val="44"/>
                <w:sz w:val="24"/>
                <w:lang/>
              </w:rPr>
            </w:pPr>
            <w:r>
              <w:rPr>
                <w:rFonts w:ascii="仿宋_GB2312" w:hAnsi="仿宋_GB2312" w:cs="仿宋_GB2312" w:hint="eastAsia"/>
                <w:bCs/>
                <w:kern w:val="44"/>
                <w:sz w:val="24"/>
                <w:lang/>
              </w:rPr>
              <w:t>资源平台</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≧3个</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≧3个</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20</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sz w:val="24"/>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proofErr w:type="gramStart"/>
            <w:r>
              <w:rPr>
                <w:rFonts w:ascii="仿宋_GB2312" w:hAnsi="仿宋_GB2312" w:cs="仿宋_GB2312" w:hint="eastAsia"/>
                <w:bCs/>
                <w:color w:val="000000"/>
                <w:kern w:val="44"/>
                <w:sz w:val="24"/>
                <w:lang/>
              </w:rPr>
              <w:t>入驻率</w:t>
            </w:r>
            <w:proofErr w:type="gramEnd"/>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≧70%</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≧75%</w:t>
            </w:r>
          </w:p>
        </w:tc>
      </w:tr>
      <w:tr w:rsidR="00A417CC" w:rsidTr="00342080">
        <w:trPr>
          <w:jc w:val="center"/>
        </w:trPr>
        <w:tc>
          <w:tcPr>
            <w:tcW w:w="900" w:type="dxa"/>
            <w:tcBorders>
              <w:tl2br w:val="nil"/>
              <w:tr2bl w:val="nil"/>
            </w:tcBorders>
            <w:shd w:val="clear" w:color="auto" w:fill="FFFFFF"/>
            <w:vAlign w:val="center"/>
          </w:tcPr>
          <w:p w:rsidR="00A417CC" w:rsidRDefault="00A417CC" w:rsidP="00342080">
            <w:pPr>
              <w:pStyle w:val="a3"/>
              <w:adjustRightInd w:val="0"/>
              <w:snapToGrid w:val="0"/>
              <w:spacing w:line="300" w:lineRule="exact"/>
              <w:ind w:left="0"/>
              <w:jc w:val="center"/>
              <w:rPr>
                <w:rFonts w:ascii="仿宋_GB2312" w:eastAsia="仿宋_GB2312" w:hAnsi="仿宋_GB2312" w:cs="仿宋_GB2312"/>
                <w:bCs/>
                <w:kern w:val="44"/>
                <w:sz w:val="24"/>
                <w:lang/>
              </w:rPr>
            </w:pPr>
            <w:r>
              <w:rPr>
                <w:rFonts w:ascii="仿宋_GB2312" w:eastAsia="仿宋_GB2312" w:hAnsi="仿宋_GB2312" w:cs="仿宋_GB2312" w:hint="eastAsia"/>
                <w:bCs/>
                <w:kern w:val="44"/>
                <w:sz w:val="24"/>
                <w:lang/>
              </w:rPr>
              <w:t>21</w:t>
            </w:r>
          </w:p>
        </w:tc>
        <w:tc>
          <w:tcPr>
            <w:tcW w:w="1851" w:type="dxa"/>
            <w:vMerge/>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sz w:val="24"/>
              </w:rPr>
            </w:pPr>
          </w:p>
        </w:tc>
        <w:tc>
          <w:tcPr>
            <w:tcW w:w="2213" w:type="dxa"/>
            <w:tcBorders>
              <w:tl2br w:val="nil"/>
              <w:tr2bl w:val="nil"/>
            </w:tcBorders>
            <w:shd w:val="clear" w:color="auto" w:fill="FFFFFF"/>
            <w:vAlign w:val="center"/>
          </w:tcPr>
          <w:p w:rsidR="00A417CC" w:rsidRDefault="00A417CC" w:rsidP="00342080">
            <w:pPr>
              <w:adjustRightInd w:val="0"/>
              <w:snapToGrid w:val="0"/>
              <w:spacing w:line="300" w:lineRule="exact"/>
              <w:rPr>
                <w:rFonts w:ascii="仿宋_GB2312" w:hAnsi="仿宋_GB2312" w:cs="仿宋_GB2312" w:hint="eastAsia"/>
                <w:bCs/>
                <w:color w:val="000000"/>
                <w:kern w:val="44"/>
                <w:sz w:val="24"/>
                <w:lang/>
              </w:rPr>
            </w:pPr>
            <w:r>
              <w:rPr>
                <w:rFonts w:ascii="仿宋_GB2312" w:hAnsi="仿宋_GB2312" w:cs="仿宋_GB2312" w:hint="eastAsia"/>
                <w:bCs/>
                <w:color w:val="000000"/>
                <w:kern w:val="44"/>
                <w:sz w:val="24"/>
                <w:lang/>
              </w:rPr>
              <w:t>优质企业</w:t>
            </w:r>
          </w:p>
        </w:tc>
        <w:tc>
          <w:tcPr>
            <w:tcW w:w="2552"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有</w:t>
            </w:r>
          </w:p>
        </w:tc>
        <w:tc>
          <w:tcPr>
            <w:tcW w:w="2551" w:type="dxa"/>
            <w:gridSpan w:val="2"/>
            <w:tcBorders>
              <w:tl2br w:val="nil"/>
              <w:tr2bl w:val="nil"/>
            </w:tcBorders>
            <w:shd w:val="clear" w:color="auto" w:fill="FFFFFF"/>
            <w:vAlign w:val="center"/>
          </w:tcPr>
          <w:p w:rsidR="00A417CC" w:rsidRDefault="00A417CC" w:rsidP="00342080">
            <w:pPr>
              <w:adjustRightInd w:val="0"/>
              <w:snapToGrid w:val="0"/>
              <w:spacing w:line="300" w:lineRule="exact"/>
              <w:jc w:val="center"/>
              <w:rPr>
                <w:rFonts w:ascii="仿宋_GB2312" w:hAnsi="仿宋_GB2312" w:cs="仿宋_GB2312" w:hint="eastAsia"/>
                <w:bCs/>
                <w:kern w:val="44"/>
                <w:sz w:val="24"/>
                <w:lang/>
              </w:rPr>
            </w:pPr>
            <w:r>
              <w:rPr>
                <w:rFonts w:ascii="仿宋_GB2312" w:hAnsi="仿宋_GB2312" w:cs="仿宋_GB2312" w:hint="eastAsia"/>
                <w:bCs/>
                <w:kern w:val="44"/>
                <w:sz w:val="24"/>
                <w:lang/>
              </w:rPr>
              <w:t>有</w:t>
            </w:r>
          </w:p>
        </w:tc>
      </w:tr>
    </w:tbl>
    <w:p w:rsidR="008F61CD" w:rsidRDefault="008F61CD" w:rsidP="00A417CC">
      <w:pPr>
        <w:rPr>
          <w:rFonts w:hint="eastAsia"/>
        </w:rPr>
      </w:pPr>
    </w:p>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7CC"/>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7CC"/>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C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7CC"/>
    <w:pPr>
      <w:spacing w:line="240" w:lineRule="auto"/>
      <w:ind w:left="720"/>
      <w:contextualSpacing/>
    </w:pPr>
    <w:rPr>
      <w:rFonts w:ascii="Calibri" w:eastAsia="宋体" w:hAnsi="Calibri" w:cs="Calibri"/>
      <w:spacing w:val="0"/>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2021-11-16T08:12:00Z</dcterms:created>
  <dcterms:modified xsi:type="dcterms:W3CDTF">2021-11-16T08:13:00Z</dcterms:modified>
</cp:coreProperties>
</file>