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450" w:lineRule="atLeast"/>
        <w:jc w:val="center"/>
        <w:rPr>
          <w:rFonts w:ascii="黑体" w:hAnsi="黑体" w:eastAsia="黑体"/>
          <w:color w:val="333333"/>
          <w:sz w:val="32"/>
          <w:szCs w:val="32"/>
        </w:rPr>
      </w:pPr>
      <w:r>
        <w:rPr>
          <w:rFonts w:hint="eastAsia" w:ascii="黑体" w:hAnsi="黑体" w:eastAsia="黑体"/>
          <w:color w:val="333333"/>
          <w:sz w:val="32"/>
          <w:szCs w:val="32"/>
        </w:rPr>
        <w:t>《上海市经济和信息化领域行政处罚裁量基准（无线电执法类）》</w:t>
      </w:r>
      <w:r>
        <w:rPr>
          <w:rFonts w:hint="eastAsia" w:ascii="黑体" w:hAnsi="黑体" w:eastAsia="黑体"/>
          <w:color w:val="333333"/>
          <w:sz w:val="32"/>
          <w:szCs w:val="32"/>
          <w:lang w:eastAsia="zh-CN"/>
        </w:rPr>
        <w:t>（征求意见稿）</w:t>
      </w:r>
    </w:p>
    <w:tbl>
      <w:tblPr>
        <w:tblStyle w:val="7"/>
        <w:tblW w:w="143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
        <w:gridCol w:w="1566"/>
        <w:gridCol w:w="3402"/>
        <w:gridCol w:w="2976"/>
        <w:gridCol w:w="1276"/>
        <w:gridCol w:w="2626"/>
        <w:gridCol w:w="1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Align w:val="center"/>
          </w:tcPr>
          <w:p>
            <w:pPr>
              <w:jc w:val="center"/>
              <w:rPr>
                <w:rFonts w:ascii="仿宋_GB2312" w:eastAsia="仿宋_GB2312"/>
                <w:b/>
                <w:bCs/>
                <w:sz w:val="24"/>
                <w:szCs w:val="24"/>
              </w:rPr>
            </w:pPr>
            <w:r>
              <w:rPr>
                <w:rFonts w:hint="eastAsia" w:ascii="仿宋_GB2312" w:eastAsia="仿宋_GB2312"/>
                <w:b/>
                <w:bCs/>
                <w:sz w:val="24"/>
                <w:szCs w:val="24"/>
              </w:rPr>
              <w:t>序号</w:t>
            </w:r>
          </w:p>
        </w:tc>
        <w:tc>
          <w:tcPr>
            <w:tcW w:w="1566" w:type="dxa"/>
            <w:vAlign w:val="center"/>
          </w:tcPr>
          <w:p>
            <w:pPr>
              <w:jc w:val="center"/>
              <w:rPr>
                <w:rFonts w:ascii="仿宋_GB2312" w:eastAsia="仿宋_GB2312"/>
                <w:b/>
                <w:bCs/>
                <w:sz w:val="24"/>
                <w:szCs w:val="24"/>
              </w:rPr>
            </w:pPr>
            <w:r>
              <w:rPr>
                <w:rFonts w:hint="eastAsia" w:ascii="仿宋_GB2312" w:eastAsia="仿宋_GB2312"/>
                <w:b/>
                <w:bCs/>
                <w:sz w:val="24"/>
                <w:szCs w:val="24"/>
              </w:rPr>
              <w:t>违法行为</w:t>
            </w:r>
          </w:p>
        </w:tc>
        <w:tc>
          <w:tcPr>
            <w:tcW w:w="3402" w:type="dxa"/>
            <w:vAlign w:val="center"/>
          </w:tcPr>
          <w:p>
            <w:pPr>
              <w:jc w:val="center"/>
              <w:rPr>
                <w:rFonts w:ascii="仿宋_GB2312" w:eastAsia="仿宋_GB2312"/>
                <w:b/>
                <w:bCs/>
                <w:sz w:val="24"/>
                <w:szCs w:val="24"/>
              </w:rPr>
            </w:pPr>
            <w:r>
              <w:rPr>
                <w:rFonts w:hint="eastAsia" w:ascii="仿宋_GB2312" w:eastAsia="仿宋_GB2312"/>
                <w:b/>
                <w:bCs/>
                <w:sz w:val="24"/>
                <w:szCs w:val="24"/>
              </w:rPr>
              <w:t>违法依据</w:t>
            </w:r>
          </w:p>
        </w:tc>
        <w:tc>
          <w:tcPr>
            <w:tcW w:w="2976" w:type="dxa"/>
            <w:vAlign w:val="center"/>
          </w:tcPr>
          <w:p>
            <w:pPr>
              <w:jc w:val="center"/>
              <w:rPr>
                <w:rFonts w:ascii="仿宋_GB2312" w:eastAsia="仿宋_GB2312"/>
                <w:b/>
                <w:bCs/>
                <w:sz w:val="24"/>
                <w:szCs w:val="24"/>
              </w:rPr>
            </w:pPr>
            <w:r>
              <w:rPr>
                <w:rFonts w:hint="eastAsia" w:ascii="仿宋_GB2312" w:eastAsia="仿宋_GB2312"/>
                <w:b/>
                <w:bCs/>
                <w:sz w:val="24"/>
                <w:szCs w:val="24"/>
              </w:rPr>
              <w:t>处罚依据</w:t>
            </w:r>
          </w:p>
        </w:tc>
        <w:tc>
          <w:tcPr>
            <w:tcW w:w="3902" w:type="dxa"/>
            <w:gridSpan w:val="2"/>
            <w:vAlign w:val="center"/>
          </w:tcPr>
          <w:p>
            <w:pPr>
              <w:jc w:val="center"/>
              <w:rPr>
                <w:rFonts w:ascii="仿宋_GB2312" w:eastAsia="仿宋_GB2312"/>
                <w:b/>
                <w:bCs/>
                <w:sz w:val="24"/>
                <w:szCs w:val="24"/>
              </w:rPr>
            </w:pPr>
            <w:r>
              <w:rPr>
                <w:rFonts w:hint="eastAsia" w:ascii="仿宋_GB2312" w:eastAsia="仿宋_GB2312"/>
                <w:b/>
                <w:bCs/>
                <w:sz w:val="24"/>
                <w:szCs w:val="24"/>
              </w:rPr>
              <w:t>裁量情节</w:t>
            </w:r>
          </w:p>
        </w:tc>
        <w:tc>
          <w:tcPr>
            <w:tcW w:w="1910" w:type="dxa"/>
            <w:vAlign w:val="center"/>
          </w:tcPr>
          <w:p>
            <w:pPr>
              <w:jc w:val="center"/>
              <w:rPr>
                <w:rFonts w:ascii="仿宋_GB2312" w:eastAsia="仿宋_GB2312"/>
                <w:b/>
                <w:bCs/>
                <w:sz w:val="24"/>
                <w:szCs w:val="24"/>
              </w:rPr>
            </w:pPr>
            <w:r>
              <w:rPr>
                <w:rFonts w:hint="eastAsia" w:ascii="仿宋_GB2312" w:eastAsia="仿宋_GB2312"/>
                <w:b/>
                <w:bCs/>
                <w:sz w:val="24"/>
                <w:szCs w:val="24"/>
              </w:rPr>
              <w:t>处罚标准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restart"/>
            <w:vAlign w:val="center"/>
          </w:tcPr>
          <w:p>
            <w:pPr>
              <w:adjustRightInd w:val="0"/>
              <w:snapToGrid w:val="0"/>
              <w:spacing w:line="360" w:lineRule="auto"/>
              <w:jc w:val="both"/>
              <w:rPr>
                <w:rFonts w:ascii="仿宋_GB2312" w:eastAsia="仿宋_GB2312"/>
                <w:szCs w:val="21"/>
              </w:rPr>
            </w:pPr>
            <w:r>
              <w:rPr>
                <w:rFonts w:hint="eastAsia" w:ascii="仿宋_GB2312" w:eastAsia="仿宋_GB2312"/>
                <w:szCs w:val="21"/>
              </w:rPr>
              <w:t>1</w:t>
            </w:r>
          </w:p>
        </w:tc>
        <w:tc>
          <w:tcPr>
            <w:tcW w:w="156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擅自使用无线电频率，擅自设置、使用无线电台（站）的</w:t>
            </w:r>
          </w:p>
        </w:tc>
        <w:tc>
          <w:tcPr>
            <w:tcW w:w="3402" w:type="dxa"/>
            <w:vMerge w:val="restart"/>
            <w:vAlign w:val="center"/>
          </w:tcPr>
          <w:p>
            <w:pPr>
              <w:adjustRightInd w:val="0"/>
              <w:snapToGrid w:val="0"/>
              <w:spacing w:line="360" w:lineRule="auto"/>
              <w:jc w:val="both"/>
              <w:rPr>
                <w:rFonts w:ascii="仿宋_GB2312" w:eastAsia="仿宋_GB2312" w:cs="宋体"/>
                <w:spacing w:val="-10"/>
                <w:szCs w:val="21"/>
              </w:rPr>
            </w:pPr>
            <w:r>
              <w:rPr>
                <w:rFonts w:hint="eastAsia" w:ascii="仿宋_GB2312" w:hAnsi="宋体" w:eastAsia="仿宋_GB2312" w:cs="宋体"/>
                <w:szCs w:val="21"/>
                <w:lang w:eastAsia="zh-CN"/>
              </w:rPr>
              <w:t>《中华人民共和国无线电管理条例》</w:t>
            </w:r>
            <w:r>
              <w:rPr>
                <w:rFonts w:hint="eastAsia" w:ascii="仿宋_GB2312" w:hAnsi="宋体" w:eastAsia="仿宋_GB2312" w:cs="宋体"/>
                <w:szCs w:val="21"/>
              </w:rPr>
              <w:t>第</w:t>
            </w:r>
            <w:r>
              <w:rPr>
                <w:rFonts w:hint="eastAsia" w:ascii="仿宋_GB2312" w:hAnsi="宋体" w:eastAsia="仿宋_GB2312" w:cs="宋体"/>
                <w:spacing w:val="-10"/>
                <w:szCs w:val="21"/>
              </w:rPr>
              <w:t>十四条</w:t>
            </w:r>
          </w:p>
          <w:p>
            <w:pPr>
              <w:adjustRightInd w:val="0"/>
              <w:snapToGrid w:val="0"/>
              <w:spacing w:line="360" w:lineRule="auto"/>
              <w:ind w:firstLine="380" w:firstLineChars="200"/>
              <w:jc w:val="both"/>
              <w:rPr>
                <w:rFonts w:ascii="仿宋_GB2312" w:eastAsia="仿宋_GB2312" w:cs="宋体"/>
                <w:spacing w:val="-10"/>
                <w:szCs w:val="21"/>
              </w:rPr>
            </w:pPr>
            <w:r>
              <w:rPr>
                <w:rFonts w:hint="eastAsia" w:ascii="仿宋_GB2312" w:hAnsi="宋体" w:eastAsia="仿宋_GB2312" w:cs="宋体"/>
                <w:spacing w:val="-10"/>
                <w:szCs w:val="21"/>
              </w:rPr>
              <w:t>使用无线电频率应当取得许可，但下列频率除外：</w:t>
            </w:r>
          </w:p>
          <w:p>
            <w:pPr>
              <w:adjustRightInd w:val="0"/>
              <w:snapToGrid w:val="0"/>
              <w:spacing w:line="360" w:lineRule="auto"/>
              <w:ind w:firstLine="380" w:firstLineChars="200"/>
              <w:jc w:val="both"/>
              <w:rPr>
                <w:rFonts w:ascii="仿宋_GB2312" w:eastAsia="仿宋_GB2312" w:cs="宋体"/>
                <w:spacing w:val="-10"/>
                <w:szCs w:val="21"/>
              </w:rPr>
            </w:pPr>
            <w:r>
              <w:rPr>
                <w:rFonts w:hint="eastAsia" w:ascii="仿宋_GB2312" w:hAnsi="宋体" w:eastAsia="仿宋_GB2312" w:cs="宋体"/>
                <w:spacing w:val="-10"/>
                <w:szCs w:val="21"/>
              </w:rPr>
              <w:t>（一）业余无线电台、公众对讲机、制式无线电台使用的频率；</w:t>
            </w:r>
          </w:p>
          <w:p>
            <w:pPr>
              <w:adjustRightInd w:val="0"/>
              <w:snapToGrid w:val="0"/>
              <w:spacing w:line="360" w:lineRule="auto"/>
              <w:ind w:firstLine="380" w:firstLineChars="200"/>
              <w:jc w:val="both"/>
              <w:rPr>
                <w:rFonts w:ascii="仿宋_GB2312" w:eastAsia="仿宋_GB2312" w:cs="宋体"/>
                <w:spacing w:val="-10"/>
                <w:szCs w:val="21"/>
              </w:rPr>
            </w:pPr>
            <w:r>
              <w:rPr>
                <w:rFonts w:hint="eastAsia" w:ascii="仿宋_GB2312" w:hAnsi="宋体" w:eastAsia="仿宋_GB2312" w:cs="宋体"/>
                <w:spacing w:val="-10"/>
                <w:szCs w:val="21"/>
              </w:rPr>
              <w:t>（二）国际安全遇险系统，用于航空、水上移动业务和无线电导航业务的国际固定频率；</w:t>
            </w:r>
          </w:p>
          <w:p>
            <w:pPr>
              <w:adjustRightInd w:val="0"/>
              <w:snapToGrid w:val="0"/>
              <w:spacing w:line="360" w:lineRule="auto"/>
              <w:ind w:firstLine="380" w:firstLineChars="200"/>
              <w:jc w:val="both"/>
              <w:rPr>
                <w:rFonts w:ascii="仿宋_GB2312" w:eastAsia="仿宋_GB2312" w:cs="宋体"/>
                <w:spacing w:val="-10"/>
                <w:szCs w:val="21"/>
              </w:rPr>
            </w:pPr>
            <w:r>
              <w:rPr>
                <w:rFonts w:hint="eastAsia" w:ascii="仿宋_GB2312" w:hAnsi="宋体" w:eastAsia="仿宋_GB2312" w:cs="宋体"/>
                <w:spacing w:val="-10"/>
                <w:szCs w:val="21"/>
              </w:rPr>
              <w:t>（三）国家无线电管理机构规定的微功率短距离无线电发射设备使用的频率。</w:t>
            </w:r>
          </w:p>
          <w:p>
            <w:pPr>
              <w:adjustRightInd w:val="0"/>
              <w:snapToGrid w:val="0"/>
              <w:spacing w:line="360" w:lineRule="auto"/>
              <w:jc w:val="both"/>
              <w:rPr>
                <w:rFonts w:ascii="仿宋_GB2312" w:eastAsia="仿宋_GB2312" w:cs="宋体"/>
                <w:spacing w:val="-10"/>
                <w:szCs w:val="21"/>
              </w:rPr>
            </w:pPr>
            <w:r>
              <w:rPr>
                <w:rFonts w:hint="eastAsia" w:ascii="仿宋_GB2312" w:hAnsi="宋体" w:eastAsia="仿宋_GB2312" w:cs="宋体"/>
                <w:spacing w:val="-10"/>
                <w:szCs w:val="21"/>
              </w:rPr>
              <w:t>第二十七条</w:t>
            </w:r>
          </w:p>
          <w:p>
            <w:pPr>
              <w:adjustRightInd w:val="0"/>
              <w:snapToGrid w:val="0"/>
              <w:spacing w:line="360" w:lineRule="auto"/>
              <w:ind w:firstLine="380" w:firstLineChars="200"/>
              <w:jc w:val="both"/>
              <w:rPr>
                <w:rFonts w:ascii="仿宋_GB2312" w:eastAsia="仿宋_GB2312" w:cs="宋体"/>
                <w:spacing w:val="-10"/>
                <w:szCs w:val="21"/>
              </w:rPr>
            </w:pPr>
            <w:r>
              <w:rPr>
                <w:rFonts w:hint="eastAsia" w:ascii="仿宋_GB2312" w:hAnsi="宋体" w:eastAsia="仿宋_GB2312" w:cs="宋体"/>
                <w:spacing w:val="-10"/>
                <w:szCs w:val="21"/>
              </w:rPr>
              <w:t>设置、使用无线电台（站）应当向无线电管理机构申请取得无线电台执照，但设置、使用下列无线电台（站）的除外：</w:t>
            </w:r>
          </w:p>
          <w:p>
            <w:pPr>
              <w:adjustRightInd w:val="0"/>
              <w:snapToGrid w:val="0"/>
              <w:spacing w:line="360" w:lineRule="auto"/>
              <w:ind w:firstLine="380" w:firstLineChars="200"/>
              <w:jc w:val="both"/>
              <w:rPr>
                <w:rFonts w:ascii="仿宋_GB2312" w:eastAsia="仿宋_GB2312" w:cs="宋体"/>
                <w:spacing w:val="-10"/>
                <w:szCs w:val="21"/>
              </w:rPr>
            </w:pPr>
            <w:r>
              <w:rPr>
                <w:rFonts w:hint="eastAsia" w:ascii="仿宋_GB2312" w:hAnsi="宋体" w:eastAsia="仿宋_GB2312" w:cs="宋体"/>
                <w:spacing w:val="-10"/>
                <w:szCs w:val="21"/>
              </w:rPr>
              <w:t>（一）地面公众移动通信终端；</w:t>
            </w:r>
          </w:p>
          <w:p>
            <w:pPr>
              <w:adjustRightInd w:val="0"/>
              <w:snapToGrid w:val="0"/>
              <w:spacing w:line="360" w:lineRule="auto"/>
              <w:ind w:firstLine="380" w:firstLineChars="200"/>
              <w:jc w:val="both"/>
              <w:rPr>
                <w:rFonts w:ascii="仿宋_GB2312" w:eastAsia="仿宋_GB2312" w:cs="宋体"/>
                <w:spacing w:val="-10"/>
                <w:szCs w:val="21"/>
              </w:rPr>
            </w:pPr>
            <w:r>
              <w:rPr>
                <w:rFonts w:hint="eastAsia" w:ascii="仿宋_GB2312" w:hAnsi="宋体" w:eastAsia="仿宋_GB2312" w:cs="宋体"/>
                <w:spacing w:val="-10"/>
                <w:szCs w:val="21"/>
              </w:rPr>
              <w:t>（二）单收无线电台（站）；</w:t>
            </w:r>
          </w:p>
          <w:p>
            <w:pPr>
              <w:adjustRightInd w:val="0"/>
              <w:snapToGrid w:val="0"/>
              <w:spacing w:line="360" w:lineRule="auto"/>
              <w:ind w:firstLine="380" w:firstLineChars="200"/>
              <w:jc w:val="both"/>
              <w:rPr>
                <w:rFonts w:ascii="仿宋_GB2312" w:eastAsia="仿宋_GB2312" w:cs="宋体"/>
                <w:spacing w:val="-10"/>
                <w:szCs w:val="21"/>
              </w:rPr>
            </w:pPr>
            <w:r>
              <w:rPr>
                <w:rFonts w:hint="eastAsia" w:ascii="仿宋_GB2312" w:hAnsi="宋体" w:eastAsia="仿宋_GB2312" w:cs="宋体"/>
                <w:spacing w:val="-10"/>
                <w:szCs w:val="21"/>
              </w:rPr>
              <w:t>（三）国家无线电管理机构规定的微功率短距离无线电台（站）。</w:t>
            </w:r>
          </w:p>
          <w:p>
            <w:pPr>
              <w:adjustRightInd w:val="0"/>
              <w:snapToGrid w:val="0"/>
              <w:spacing w:line="360" w:lineRule="auto"/>
              <w:jc w:val="both"/>
              <w:rPr>
                <w:rFonts w:ascii="仿宋_GB2312" w:eastAsia="仿宋_GB2312" w:cs="宋体"/>
                <w:spacing w:val="-10"/>
                <w:szCs w:val="21"/>
              </w:rPr>
            </w:pPr>
            <w:r>
              <w:rPr>
                <w:rFonts w:hint="eastAsia" w:ascii="仿宋_GB2312" w:hAnsi="宋体" w:eastAsia="仿宋_GB2312" w:cs="宋体"/>
                <w:spacing w:val="-10"/>
                <w:szCs w:val="21"/>
              </w:rPr>
              <w:t>第十九条第二款</w:t>
            </w:r>
          </w:p>
          <w:p>
            <w:pPr>
              <w:adjustRightInd w:val="0"/>
              <w:snapToGrid w:val="0"/>
              <w:spacing w:line="360" w:lineRule="auto"/>
              <w:ind w:firstLine="380" w:firstLineChars="200"/>
              <w:jc w:val="both"/>
              <w:rPr>
                <w:rFonts w:ascii="仿宋_GB2312" w:eastAsia="仿宋_GB2312" w:cs="宋体"/>
                <w:spacing w:val="-10"/>
                <w:szCs w:val="21"/>
              </w:rPr>
            </w:pPr>
            <w:r>
              <w:rPr>
                <w:rFonts w:hint="eastAsia" w:ascii="仿宋_GB2312" w:hAnsi="宋体" w:eastAsia="仿宋_GB2312" w:cs="宋体"/>
                <w:spacing w:val="-10"/>
                <w:szCs w:val="21"/>
              </w:rPr>
              <w:t>无线电频率使用期限届满后需要继续使用的，应当在期限届满30个工作日前向作出许可决定的无线电管理机构提出延续申请。受理申请的无线电管理机构应当依照本条例第十五条、第十六条的规定进行审查并作出决定。</w:t>
            </w:r>
          </w:p>
          <w:p>
            <w:pPr>
              <w:adjustRightInd w:val="0"/>
              <w:snapToGrid w:val="0"/>
              <w:spacing w:line="360" w:lineRule="auto"/>
              <w:jc w:val="both"/>
              <w:rPr>
                <w:rFonts w:ascii="仿宋_GB2312" w:eastAsia="仿宋_GB2312" w:cs="宋体"/>
                <w:spacing w:val="-10"/>
                <w:szCs w:val="21"/>
              </w:rPr>
            </w:pPr>
            <w:r>
              <w:rPr>
                <w:rFonts w:hint="eastAsia" w:ascii="仿宋_GB2312" w:hAnsi="宋体" w:eastAsia="仿宋_GB2312" w:cs="宋体"/>
                <w:spacing w:val="-10"/>
                <w:szCs w:val="21"/>
              </w:rPr>
              <w:t>第三十三条第二款</w:t>
            </w:r>
          </w:p>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pacing w:val="-10"/>
                <w:szCs w:val="21"/>
              </w:rPr>
              <w:t>无线电台执照有效期届满后需要继续使用无线电台（站）的，应当在期限届满30个工作日前向作出许可决定的无线电管理机构申请更换无线电台执照。受理申请的无线电管理机构应当依照本条例第三十一条的规定作出决定。</w:t>
            </w:r>
          </w:p>
        </w:tc>
        <w:tc>
          <w:tcPr>
            <w:tcW w:w="2976" w:type="dxa"/>
            <w:vMerge w:val="restart"/>
            <w:vAlign w:val="center"/>
          </w:tcPr>
          <w:p>
            <w:pPr>
              <w:adjustRightInd w:val="0"/>
              <w:snapToGrid w:val="0"/>
              <w:spacing w:line="360" w:lineRule="auto"/>
              <w:jc w:val="both"/>
              <w:rPr>
                <w:rFonts w:ascii="仿宋_GB2312" w:eastAsia="仿宋_GB2312" w:cs="宋体"/>
                <w:szCs w:val="21"/>
              </w:rPr>
            </w:pPr>
            <w:r>
              <w:rPr>
                <w:rFonts w:hint="eastAsia" w:ascii="仿宋_GB2312" w:hAnsi="宋体" w:eastAsia="仿宋_GB2312" w:cs="宋体"/>
                <w:szCs w:val="21"/>
                <w:lang w:eastAsia="zh-CN"/>
              </w:rPr>
              <w:t>《中华人民共和国无线电管理条例》</w:t>
            </w:r>
            <w:r>
              <w:rPr>
                <w:rFonts w:hint="eastAsia" w:ascii="仿宋_GB2312" w:hAnsi="宋体" w:eastAsia="仿宋_GB2312" w:cs="宋体"/>
                <w:szCs w:val="21"/>
              </w:rPr>
              <w:t>第七十条</w:t>
            </w:r>
          </w:p>
          <w:p>
            <w:pPr>
              <w:adjustRightInd w:val="0"/>
              <w:snapToGrid w:val="0"/>
              <w:spacing w:line="360" w:lineRule="auto"/>
              <w:ind w:firstLine="380" w:firstLineChars="200"/>
              <w:jc w:val="both"/>
              <w:rPr>
                <w:rFonts w:ascii="仿宋_GB2312" w:hAnsi="宋体" w:eastAsia="仿宋_GB2312" w:cs="宋体"/>
                <w:szCs w:val="21"/>
              </w:rPr>
            </w:pPr>
            <w:r>
              <w:rPr>
                <w:rFonts w:hint="eastAsia" w:ascii="仿宋_GB2312" w:hAnsi="宋体" w:eastAsia="仿宋_GB2312" w:cs="宋体"/>
                <w:spacing w:val="-10"/>
                <w:szCs w:val="21"/>
              </w:rPr>
              <w:t>违反本条例规定，未经许可擅自使用无线电频率，或者擅自设置、使用无线电台（站）的，由无线电管理机构责令改正，没收从事违法活动的设备和违法所得，可以并处5万元以下的罚款；拒不改正的，并处5万元以上20万元以下的罚款；擅自设置、使用无线电台（站）从事诈骗等违法活动，尚不构成犯罪的，并处20万元以上50万元以下的罚款。</w:t>
            </w:r>
          </w:p>
        </w:tc>
        <w:tc>
          <w:tcPr>
            <w:tcW w:w="12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责令改正，已经改正的</w:t>
            </w: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未经许可擅自使用无线电频率，或者擅自设置、使用无线电台（站），</w:t>
            </w:r>
            <w:r>
              <w:rPr>
                <w:rFonts w:hint="eastAsia" w:ascii="仿宋_GB2312" w:hAnsi="宋体" w:eastAsia="仿宋_GB2312" w:cs="宋体"/>
                <w:color w:val="000000" w:themeColor="text1"/>
                <w:szCs w:val="21"/>
                <w14:textFill>
                  <w14:solidFill>
                    <w14:schemeClr w14:val="tx1"/>
                  </w14:solidFill>
                </w14:textFill>
              </w:rPr>
              <w:t>未对正常运行的无线电台</w:t>
            </w:r>
            <w:r>
              <w:rPr>
                <w:rFonts w:ascii="仿宋_GB2312" w:hAnsi="宋体" w:eastAsia="仿宋_GB2312" w:cs="宋体"/>
                <w:color w:val="000000" w:themeColor="text1"/>
                <w:szCs w:val="21"/>
                <w14:textFill>
                  <w14:solidFill>
                    <w14:schemeClr w14:val="tx1"/>
                  </w14:solidFill>
                </w14:textFill>
              </w:rPr>
              <w:t>(站)产生有害干扰的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没收从事违法活动的设备和违法所得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ind w:firstLine="420" w:firstLineChars="200"/>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未经许可擅自使用无线电频率，或者擅自设置、使用无线电台（站），</w:t>
            </w:r>
            <w:r>
              <w:rPr>
                <w:rFonts w:hint="eastAsia" w:ascii="仿宋_GB2312" w:hAnsi="宋体" w:eastAsia="仿宋_GB2312" w:cs="宋体"/>
                <w:color w:val="000000" w:themeColor="text1"/>
                <w:szCs w:val="21"/>
                <w14:textFill>
                  <w14:solidFill>
                    <w14:schemeClr w14:val="tx1"/>
                  </w14:solidFill>
                </w14:textFill>
              </w:rPr>
              <w:t>对一般无线电台（站）造成有害干扰或者影响其他依法开展的无线电业务的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没收从事违法活动的设备和违法所得，并处</w:t>
            </w:r>
            <w:r>
              <w:rPr>
                <w:rFonts w:ascii="仿宋_GB2312" w:hAnsi="宋体" w:eastAsia="仿宋_GB2312" w:cs="宋体"/>
                <w:szCs w:val="21"/>
              </w:rPr>
              <w:t>3</w:t>
            </w:r>
            <w:r>
              <w:rPr>
                <w:rFonts w:hint="eastAsia" w:ascii="仿宋_GB2312" w:hAnsi="宋体" w:eastAsia="仿宋_GB2312" w:cs="宋体"/>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未经许可擅自使用无线电频率，或者擅自设置、使用无线电台（站），</w:t>
            </w:r>
            <w:r>
              <w:rPr>
                <w:rFonts w:hint="eastAsia" w:ascii="仿宋_GB2312" w:hAnsi="宋体" w:eastAsia="仿宋_GB2312" w:cs="宋体"/>
                <w:color w:val="000000" w:themeColor="text1"/>
                <w:szCs w:val="21"/>
                <w14:textFill>
                  <w14:solidFill>
                    <w14:schemeClr w14:val="tx1"/>
                  </w14:solidFill>
                </w14:textFill>
              </w:rPr>
              <w:t>对重点无线电台（站）造成有害干扰的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没收从事违法活动的设备和违法所得，并处3万元以上5万元以下的罚款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责令改正，拒不改正的</w:t>
            </w: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未经许可擅自使用无线电频率，或者擅自设置、使用无线电台（站）</w:t>
            </w:r>
            <w:r>
              <w:rPr>
                <w:rFonts w:hint="eastAsia" w:ascii="仿宋_GB2312" w:hAnsi="宋体" w:eastAsia="仿宋_GB2312" w:cs="宋体"/>
                <w:color w:val="000000" w:themeColor="text1"/>
                <w:szCs w:val="21"/>
                <w14:textFill>
                  <w14:solidFill>
                    <w14:schemeClr w14:val="tx1"/>
                  </w14:solidFill>
                </w14:textFill>
              </w:rPr>
              <w:t>，未对正常运行的无线电台</w:t>
            </w:r>
            <w:r>
              <w:rPr>
                <w:rFonts w:ascii="仿宋_GB2312" w:hAnsi="宋体" w:eastAsia="仿宋_GB2312" w:cs="宋体"/>
                <w:color w:val="000000" w:themeColor="text1"/>
                <w:szCs w:val="21"/>
                <w14:textFill>
                  <w14:solidFill>
                    <w14:schemeClr w14:val="tx1"/>
                  </w14:solidFill>
                </w14:textFill>
              </w:rPr>
              <w:t>(站)产生有害干扰的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没收从事违法活动的设备和违法所得，并处5万元以上10万元以下的罚款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未经许可擅自使用无线电频率，或者擅自设置、使用无线电台（站），</w:t>
            </w:r>
            <w:r>
              <w:rPr>
                <w:rFonts w:hint="eastAsia" w:ascii="仿宋_GB2312" w:hAnsi="宋体" w:eastAsia="仿宋_GB2312" w:cs="宋体"/>
                <w:color w:val="000000" w:themeColor="text1"/>
                <w:szCs w:val="21"/>
                <w14:textFill>
                  <w14:solidFill>
                    <w14:schemeClr w14:val="tx1"/>
                  </w14:solidFill>
                </w14:textFill>
              </w:rPr>
              <w:t>对一般无线电台（站）造成有害干扰或者影响其他依法开展的无线电业务的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没收从事违法活动的设备和违法所得，并处10万元以上15万元以下的罚款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未经许可擅自使用无线电频率，或者擅自设置、使用无线电台（站），</w:t>
            </w:r>
            <w:r>
              <w:rPr>
                <w:rFonts w:hint="eastAsia" w:ascii="仿宋_GB2312" w:hAnsi="宋体" w:eastAsia="仿宋_GB2312" w:cs="宋体"/>
                <w:color w:val="000000" w:themeColor="text1"/>
                <w:szCs w:val="21"/>
                <w14:textFill>
                  <w14:solidFill>
                    <w14:schemeClr w14:val="tx1"/>
                  </w14:solidFill>
                </w14:textFill>
              </w:rPr>
              <w:t>对重点无线电台（站）造成有害干扰的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没收从事违法活动的设备和违法所得，并处15万元以上20万元以下的罚款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擅自设置、使用无线电台（站）进行诈骗等违法活动，尚不构成犯罪的</w:t>
            </w: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没有违法所得的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没收从事违法活动的设备，并处20万元以上30万元以下的罚款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有违法所得的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没收从事违法活动的设备和违法所得，并处30万元以上50万元以下的罚款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6" w:type="dxa"/>
            <w:vMerge w:val="restart"/>
            <w:vAlign w:val="center"/>
          </w:tcPr>
          <w:p>
            <w:pPr>
              <w:adjustRightInd w:val="0"/>
              <w:snapToGrid w:val="0"/>
              <w:spacing w:line="360" w:lineRule="auto"/>
              <w:jc w:val="both"/>
              <w:rPr>
                <w:rFonts w:ascii="仿宋_GB2312" w:eastAsia="仿宋_GB2312"/>
                <w:szCs w:val="21"/>
              </w:rPr>
            </w:pPr>
            <w:r>
              <w:rPr>
                <w:rFonts w:hint="eastAsia" w:ascii="仿宋_GB2312" w:eastAsia="仿宋_GB2312"/>
                <w:szCs w:val="21"/>
              </w:rPr>
              <w:t>2</w:t>
            </w:r>
          </w:p>
        </w:tc>
        <w:tc>
          <w:tcPr>
            <w:tcW w:w="1566" w:type="dxa"/>
            <w:vMerge w:val="restart"/>
            <w:vAlign w:val="center"/>
          </w:tcPr>
          <w:p>
            <w:pPr>
              <w:adjustRightInd w:val="0"/>
              <w:snapToGrid w:val="0"/>
              <w:spacing w:line="360" w:lineRule="auto"/>
              <w:jc w:val="both"/>
              <w:rPr>
                <w:rFonts w:ascii="仿宋_GB2312" w:eastAsia="仿宋_GB2312"/>
                <w:szCs w:val="21"/>
              </w:rPr>
            </w:pPr>
            <w:r>
              <w:rPr>
                <w:rFonts w:hint="eastAsia" w:ascii="仿宋_GB2312" w:hAnsi="宋体" w:eastAsia="仿宋_GB2312" w:cs="宋体"/>
                <w:szCs w:val="21"/>
              </w:rPr>
              <w:t>擅自转让无线电频率的</w:t>
            </w:r>
          </w:p>
        </w:tc>
        <w:tc>
          <w:tcPr>
            <w:tcW w:w="3402"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lang w:eastAsia="zh-CN"/>
              </w:rPr>
              <w:t>《中华人民共和国无线电管理条例》</w:t>
            </w:r>
            <w:r>
              <w:rPr>
                <w:rFonts w:hint="eastAsia" w:ascii="仿宋_GB2312" w:hAnsi="宋体" w:eastAsia="仿宋_GB2312" w:cs="宋体"/>
                <w:szCs w:val="21"/>
              </w:rPr>
              <w:t>第二十条</w:t>
            </w:r>
          </w:p>
          <w:p>
            <w:pPr>
              <w:adjustRightInd w:val="0"/>
              <w:snapToGrid w:val="0"/>
              <w:spacing w:line="360" w:lineRule="auto"/>
              <w:ind w:firstLine="420" w:firstLineChars="200"/>
              <w:jc w:val="both"/>
              <w:rPr>
                <w:rFonts w:ascii="仿宋_GB2312" w:eastAsia="仿宋_GB2312"/>
                <w:szCs w:val="21"/>
              </w:rPr>
            </w:pPr>
            <w:r>
              <w:rPr>
                <w:rFonts w:hint="eastAsia" w:ascii="仿宋_GB2312" w:hAnsi="宋体" w:eastAsia="仿宋_GB2312" w:cs="宋体"/>
                <w:szCs w:val="21"/>
              </w:rPr>
              <w:t>转让无线电频率使用权的，受让人应当符合本条例第十五条规定的条件，并提交双方转让协议，依照本条例第十六条规定的程序报请无线电管理机构批准。</w:t>
            </w:r>
          </w:p>
        </w:tc>
        <w:tc>
          <w:tcPr>
            <w:tcW w:w="29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lang w:eastAsia="zh-CN"/>
              </w:rPr>
              <w:t>《中华人民共和国无线电管理条例》</w:t>
            </w:r>
            <w:r>
              <w:rPr>
                <w:rFonts w:hint="eastAsia" w:ascii="仿宋_GB2312" w:hAnsi="宋体" w:eastAsia="仿宋_GB2312" w:cs="宋体"/>
                <w:szCs w:val="21"/>
              </w:rPr>
              <w:t>第七十一条</w:t>
            </w:r>
          </w:p>
          <w:p>
            <w:pPr>
              <w:adjustRightInd w:val="0"/>
              <w:snapToGrid w:val="0"/>
              <w:spacing w:line="360" w:lineRule="auto"/>
              <w:ind w:firstLine="420" w:firstLineChars="200"/>
              <w:jc w:val="both"/>
              <w:rPr>
                <w:rFonts w:ascii="仿宋_GB2312" w:eastAsia="仿宋_GB2312"/>
                <w:szCs w:val="21"/>
              </w:rPr>
            </w:pPr>
            <w:r>
              <w:rPr>
                <w:rFonts w:hint="eastAsia" w:ascii="仿宋_GB2312" w:hAnsi="宋体" w:eastAsia="仿宋_GB2312" w:cs="宋体"/>
                <w:szCs w:val="21"/>
              </w:rPr>
              <w:t>违反本条例规定，擅自转让无线电频率的，由无线电管理机构责令改正，没收违法所得；拒不改正的，并处违法所得1倍以上3倍以下的罚款；没有违法所得或者违法所得不足10万元的，处1万元以上10万元以下的罚款；造成严重后果的，吊销无线电频率使用许可证。</w:t>
            </w:r>
          </w:p>
        </w:tc>
        <w:tc>
          <w:tcPr>
            <w:tcW w:w="3902" w:type="dxa"/>
            <w:gridSpan w:val="2"/>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尚未造成严重后果，责令改正，已经改正的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尚未造成严重后果，责令改正，拒不改正的</w:t>
            </w: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没有违法所得的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处1万元以上</w:t>
            </w:r>
            <w:r>
              <w:rPr>
                <w:rFonts w:ascii="仿宋_GB2312" w:hAnsi="宋体" w:eastAsia="仿宋_GB2312" w:cs="宋体"/>
                <w:szCs w:val="21"/>
              </w:rPr>
              <w:t>5</w:t>
            </w:r>
            <w:r>
              <w:rPr>
                <w:rFonts w:hint="eastAsia" w:ascii="仿宋_GB2312" w:hAnsi="宋体" w:eastAsia="仿宋_GB2312" w:cs="宋体"/>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违法所得不足10万元的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没收违法所得，并处</w:t>
            </w:r>
            <w:r>
              <w:rPr>
                <w:rFonts w:ascii="仿宋_GB2312" w:hAnsi="宋体" w:eastAsia="仿宋_GB2312" w:cs="宋体"/>
                <w:szCs w:val="21"/>
              </w:rPr>
              <w:t>5</w:t>
            </w:r>
            <w:r>
              <w:rPr>
                <w:rFonts w:hint="eastAsia" w:ascii="仿宋_GB2312" w:hAnsi="宋体" w:eastAsia="仿宋_GB2312" w:cs="宋体"/>
                <w:szCs w:val="21"/>
              </w:rPr>
              <w:t>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违法所得在10万元以上的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没收违法所得，并处违法所得1倍的罚款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造成严重后果的</w:t>
            </w: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没有违法所得的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吊销无线电频率使用许可证，并处5万元以上7万元以下的罚款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违法所得不足10万元的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吊销无线电频率使用许可证，没收违法所得，并处7万元以上10万元以下的罚款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违法所得在10万元以上不足30万元的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吊销无线电频率使用许可证，没收违法所得，并处违法所得2倍的罚款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违法所得在30万元以上的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吊销无线电频率使用许可证，没收违法所得，并处违法所得3倍的罚款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6" w:type="dxa"/>
            <w:vMerge w:val="restart"/>
            <w:vAlign w:val="center"/>
          </w:tcPr>
          <w:p>
            <w:pPr>
              <w:adjustRightInd w:val="0"/>
              <w:snapToGrid w:val="0"/>
              <w:spacing w:line="360" w:lineRule="auto"/>
              <w:jc w:val="both"/>
              <w:rPr>
                <w:rFonts w:ascii="仿宋_GB2312" w:eastAsia="仿宋_GB2312"/>
                <w:szCs w:val="21"/>
              </w:rPr>
            </w:pPr>
            <w:r>
              <w:rPr>
                <w:rFonts w:hint="eastAsia" w:ascii="仿宋_GB2312" w:eastAsia="仿宋_GB2312"/>
                <w:szCs w:val="21"/>
              </w:rPr>
              <w:t>3</w:t>
            </w:r>
          </w:p>
        </w:tc>
        <w:tc>
          <w:tcPr>
            <w:tcW w:w="1566" w:type="dxa"/>
            <w:vMerge w:val="restart"/>
            <w:shd w:val="clear" w:color="auto" w:fill="auto"/>
            <w:vAlign w:val="center"/>
          </w:tcPr>
          <w:p>
            <w:pPr>
              <w:adjustRightInd w:val="0"/>
              <w:snapToGrid w:val="0"/>
              <w:spacing w:line="360" w:lineRule="auto"/>
              <w:jc w:val="both"/>
              <w:rPr>
                <w:rFonts w:ascii="仿宋_GB2312" w:eastAsia="仿宋_GB2312"/>
                <w:szCs w:val="21"/>
              </w:rPr>
            </w:pPr>
            <w:r>
              <w:rPr>
                <w:rFonts w:hint="eastAsia" w:ascii="仿宋_GB2312" w:hAnsi="宋体" w:eastAsia="仿宋_GB2312" w:cs="宋体"/>
                <w:szCs w:val="21"/>
              </w:rPr>
              <w:t>不按照无线电台执照规定的许可事项和要求设置、使用无线电台（站）的</w:t>
            </w:r>
          </w:p>
        </w:tc>
        <w:tc>
          <w:tcPr>
            <w:tcW w:w="3402"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lang w:eastAsia="zh-CN"/>
              </w:rPr>
              <w:t>《中华人民共和国无线电管理条例》</w:t>
            </w:r>
            <w:r>
              <w:rPr>
                <w:rFonts w:hint="eastAsia" w:ascii="仿宋_GB2312" w:hAnsi="宋体" w:eastAsia="仿宋_GB2312" w:cs="宋体"/>
                <w:szCs w:val="21"/>
              </w:rPr>
              <w:t>第三十八条</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无线电台（站）应当按照无线电台执照规定的许可事项和条件设置、使用；变更许可事项的，应当向作出许可决定的无线电管理机构办理变更手续。</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无线电台（站）终止使用的，应当及时向作出许可决定的无线电管理机构办理注销手续，交回无线电台执照，拆除无线电台（站）及天线等附属设备。</w:t>
            </w:r>
          </w:p>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第三十二条</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无线电台执照应当载明无线电台（站）的台址、使用频率、发射功率、有效期、使用要求等事项。</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无线电台执照的样式由国家无线电管理机构统一规定。</w:t>
            </w:r>
          </w:p>
        </w:tc>
        <w:tc>
          <w:tcPr>
            <w:tcW w:w="29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lang w:eastAsia="zh-CN"/>
              </w:rPr>
              <w:t>《中华人民共和国无线电管理条例》</w:t>
            </w:r>
            <w:r>
              <w:rPr>
                <w:rFonts w:hint="eastAsia" w:ascii="仿宋_GB2312" w:hAnsi="宋体" w:eastAsia="仿宋_GB2312" w:cs="宋体"/>
                <w:szCs w:val="21"/>
              </w:rPr>
              <w:t>第七十二条</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违反本条例规定，有下列行为之一的，由无线电管理机构责令改正，没收违法所得，可以并处3万元以下的罚款；造成严重后果的，吊销无线电台执照，并处3万元以上10万元以下的罚款：</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（一）不按照无线电台执照规定的许可事项和要求设置、使用无线电台（站）；</w:t>
            </w:r>
          </w:p>
          <w:p>
            <w:pPr>
              <w:adjustRightInd w:val="0"/>
              <w:snapToGrid w:val="0"/>
              <w:spacing w:line="360" w:lineRule="auto"/>
              <w:ind w:firstLine="420" w:firstLineChars="200"/>
              <w:jc w:val="both"/>
              <w:rPr>
                <w:rFonts w:ascii="仿宋_GB2312" w:hAnsi="宋体" w:eastAsia="仿宋_GB2312" w:cs="宋体"/>
                <w:szCs w:val="21"/>
              </w:rPr>
            </w:pPr>
          </w:p>
        </w:tc>
        <w:tc>
          <w:tcPr>
            <w:tcW w:w="3902" w:type="dxa"/>
            <w:gridSpan w:val="2"/>
            <w:vAlign w:val="center"/>
          </w:tcPr>
          <w:p>
            <w:pPr>
              <w:adjustRightInd w:val="0"/>
              <w:snapToGrid w:val="0"/>
              <w:spacing w:line="360" w:lineRule="auto"/>
              <w:jc w:val="both"/>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尚未造成严重后果，责令改正，已经改正的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shd w:val="clear" w:color="auto" w:fill="auto"/>
            <w:vAlign w:val="center"/>
          </w:tcPr>
          <w:p>
            <w:pPr>
              <w:adjustRightInd w:val="0"/>
              <w:snapToGrid w:val="0"/>
              <w:spacing w:line="360" w:lineRule="auto"/>
              <w:jc w:val="both"/>
              <w:rPr>
                <w:rFonts w:ascii="仿宋_GB2312" w:hAnsi="宋体" w:eastAsia="仿宋_GB2312" w:cs="宋体"/>
                <w:szCs w:val="21"/>
              </w:rPr>
            </w:pPr>
          </w:p>
        </w:tc>
        <w:tc>
          <w:tcPr>
            <w:tcW w:w="3402" w:type="dxa"/>
            <w:vMerge w:val="continue"/>
            <w:vAlign w:val="center"/>
          </w:tcPr>
          <w:p>
            <w:pPr>
              <w:adjustRightInd w:val="0"/>
              <w:snapToGrid w:val="0"/>
              <w:spacing w:line="360" w:lineRule="auto"/>
              <w:jc w:val="both"/>
              <w:rPr>
                <w:rFonts w:ascii="仿宋_GB2312" w:hAnsi="宋体" w:eastAsia="仿宋_GB2312" w:cs="宋体"/>
                <w:szCs w:val="21"/>
              </w:rPr>
            </w:pPr>
          </w:p>
        </w:tc>
        <w:tc>
          <w:tcPr>
            <w:tcW w:w="2976" w:type="dxa"/>
            <w:vMerge w:val="continue"/>
            <w:vAlign w:val="center"/>
          </w:tcPr>
          <w:p>
            <w:pPr>
              <w:adjustRightInd w:val="0"/>
              <w:snapToGrid w:val="0"/>
              <w:spacing w:line="360" w:lineRule="auto"/>
              <w:jc w:val="both"/>
              <w:rPr>
                <w:rFonts w:ascii="仿宋_GB2312" w:hAnsi="宋体" w:eastAsia="仿宋_GB2312" w:cs="宋体"/>
                <w:szCs w:val="21"/>
              </w:rPr>
            </w:pPr>
          </w:p>
        </w:tc>
        <w:tc>
          <w:tcPr>
            <w:tcW w:w="1276" w:type="dxa"/>
            <w:vMerge w:val="restart"/>
            <w:vAlign w:val="center"/>
          </w:tcPr>
          <w:p>
            <w:pPr>
              <w:adjustRightInd w:val="0"/>
              <w:snapToGrid w:val="0"/>
              <w:spacing w:line="360" w:lineRule="auto"/>
              <w:jc w:val="both"/>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尚未造成严重后果的，责令改正，拒不改正的</w:t>
            </w: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所设置、使用的无线电台（站）的台址、使用频率、发射功率、带宽等技术参数有一项不符合无线电台执照规定的许可事项和要求的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没收违法所得，并处1万元以下的罚款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shd w:val="clear" w:color="auto" w:fill="auto"/>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所设置、使用的无线电台（站）的台址、使用频率、发射功率、带宽等技术参数有两项以上不符合无线电台执照规定的许可事项和要求的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没收违法所得，并处</w:t>
            </w:r>
            <w:r>
              <w:rPr>
                <w:rFonts w:ascii="仿宋_GB2312" w:hAnsi="宋体" w:eastAsia="仿宋_GB2312" w:cs="宋体"/>
                <w:szCs w:val="21"/>
              </w:rPr>
              <w:t>1</w:t>
            </w:r>
            <w:r>
              <w:rPr>
                <w:rFonts w:hint="eastAsia" w:ascii="仿宋_GB2312" w:hAnsi="宋体" w:eastAsia="仿宋_GB2312" w:cs="宋体"/>
                <w:szCs w:val="21"/>
              </w:rPr>
              <w:t>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shd w:val="clear" w:color="auto" w:fill="auto"/>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restart"/>
            <w:vAlign w:val="center"/>
          </w:tcPr>
          <w:p>
            <w:pPr>
              <w:adjustRightInd w:val="0"/>
              <w:snapToGrid w:val="0"/>
              <w:spacing w:line="360" w:lineRule="auto"/>
              <w:jc w:val="both"/>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造成严重后果的</w:t>
            </w: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所设置、使用的无线电台（站）的台址、使用频率、发射功率、带宽等技术参数有一项不符合无线电台执照规定的许可事项和要求的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吊销无线电台执照，没收违法所得，并处3万元以上5万元以下的罚款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shd w:val="clear" w:color="auto" w:fill="auto"/>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所设置、使用的无线电台（站）的台址、使用频率、发射功率、带宽等技术参数有两项以上不符合无线电台执照规定的许可事项和要求的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吊销无线电台执照，没收违法所得，并处5万元以上10万元以下的罚款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restart"/>
            <w:vAlign w:val="center"/>
          </w:tcPr>
          <w:p>
            <w:pPr>
              <w:adjustRightInd w:val="0"/>
              <w:snapToGrid w:val="0"/>
              <w:spacing w:line="360" w:lineRule="auto"/>
              <w:jc w:val="both"/>
              <w:rPr>
                <w:rFonts w:ascii="仿宋_GB2312" w:eastAsia="仿宋_GB2312"/>
                <w:szCs w:val="21"/>
              </w:rPr>
            </w:pPr>
            <w:r>
              <w:rPr>
                <w:rFonts w:hint="eastAsia" w:ascii="仿宋_GB2312" w:eastAsia="仿宋_GB2312"/>
                <w:szCs w:val="21"/>
              </w:rPr>
              <w:t>4</w:t>
            </w:r>
          </w:p>
        </w:tc>
        <w:tc>
          <w:tcPr>
            <w:tcW w:w="1566" w:type="dxa"/>
            <w:vMerge w:val="restart"/>
            <w:vAlign w:val="center"/>
          </w:tcPr>
          <w:p>
            <w:pPr>
              <w:adjustRightInd w:val="0"/>
              <w:snapToGrid w:val="0"/>
              <w:spacing w:line="360" w:lineRule="auto"/>
              <w:jc w:val="both"/>
              <w:rPr>
                <w:rFonts w:ascii="仿宋_GB2312" w:eastAsia="仿宋_GB2312"/>
                <w:szCs w:val="21"/>
              </w:rPr>
            </w:pPr>
            <w:r>
              <w:rPr>
                <w:rFonts w:hint="eastAsia" w:ascii="仿宋_GB2312" w:hAnsi="宋体" w:eastAsia="仿宋_GB2312" w:cs="宋体"/>
                <w:szCs w:val="21"/>
              </w:rPr>
              <w:t>故意收发无线电台执照核定项目之外的无线电信号，传播公布或者利用无意接收的信息的</w:t>
            </w:r>
          </w:p>
        </w:tc>
        <w:tc>
          <w:tcPr>
            <w:tcW w:w="3402"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lang w:eastAsia="zh-CN"/>
              </w:rPr>
              <w:t>《中华人民共和国无线电管理条例》</w:t>
            </w:r>
            <w:r>
              <w:rPr>
                <w:rFonts w:hint="eastAsia" w:ascii="仿宋_GB2312" w:hAnsi="宋体" w:eastAsia="仿宋_GB2312" w:cs="宋体"/>
                <w:szCs w:val="21"/>
              </w:rPr>
              <w:t>第四十一条第一款</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使用无线电台（站）的单位或者个人不得故意收发无线电台执照许可事项之外的无线电信号，不得传播、公布或者利用无意接收的信息。</w:t>
            </w:r>
          </w:p>
        </w:tc>
        <w:tc>
          <w:tcPr>
            <w:tcW w:w="29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lang w:eastAsia="zh-CN"/>
              </w:rPr>
              <w:t>《中华人民共和国无线电管理条例》</w:t>
            </w:r>
            <w:r>
              <w:rPr>
                <w:rFonts w:hint="eastAsia" w:ascii="仿宋_GB2312" w:hAnsi="宋体" w:eastAsia="仿宋_GB2312" w:cs="宋体"/>
                <w:szCs w:val="21"/>
              </w:rPr>
              <w:t>第七十二条</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违反本条例规定，有下列行为之一的，由无线电管理机构责令改正，没收违法所得，可以并处3万元以下的罚款；造成严重后果的，吊销无线电台执照，并处3万元以上10万元以下的罚款：</w:t>
            </w:r>
          </w:p>
          <w:p>
            <w:pPr>
              <w:adjustRightInd w:val="0"/>
              <w:snapToGrid w:val="0"/>
              <w:spacing w:line="360" w:lineRule="auto"/>
              <w:ind w:firstLine="420" w:firstLineChars="200"/>
              <w:jc w:val="both"/>
              <w:rPr>
                <w:rFonts w:ascii="仿宋_GB2312" w:eastAsia="仿宋_GB2312"/>
                <w:szCs w:val="21"/>
              </w:rPr>
            </w:pPr>
            <w:r>
              <w:rPr>
                <w:rFonts w:hint="eastAsia" w:ascii="仿宋_GB2312" w:hAnsi="宋体" w:eastAsia="仿宋_GB2312" w:cs="宋体"/>
                <w:szCs w:val="21"/>
              </w:rPr>
              <w:t>（二）故意收发无线电台执照许可事项之外的无线电信号，传播、公布或者利用无意接收的信息；</w:t>
            </w:r>
          </w:p>
        </w:tc>
        <w:tc>
          <w:tcPr>
            <w:tcW w:w="3902" w:type="dxa"/>
            <w:gridSpan w:val="2"/>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尚未造成严重后果，责令改正，已经改正的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尚未造成严重后果，责令改正，拒不改正的</w:t>
            </w:r>
          </w:p>
        </w:tc>
        <w:tc>
          <w:tcPr>
            <w:tcW w:w="2626" w:type="dxa"/>
            <w:vAlign w:val="center"/>
          </w:tcPr>
          <w:p>
            <w:pPr>
              <w:adjustRightInd w:val="0"/>
              <w:snapToGrid w:val="0"/>
              <w:spacing w:line="360" w:lineRule="auto"/>
              <w:jc w:val="both"/>
              <w:rPr>
                <w:rFonts w:hint="eastAsia" w:ascii="仿宋_GB2312" w:hAnsi="宋体" w:eastAsia="仿宋_GB2312" w:cs="宋体"/>
                <w:szCs w:val="21"/>
              </w:rPr>
            </w:pPr>
            <w:r>
              <w:rPr>
                <w:rFonts w:hint="eastAsia" w:ascii="仿宋_GB2312" w:hAnsi="宋体" w:eastAsia="仿宋_GB2312" w:cs="宋体"/>
                <w:szCs w:val="21"/>
              </w:rPr>
              <w:t>尚未影响依法开展的无线电业务的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没收违法所得，并处1万元以下的罚款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6" w:type="dxa"/>
            <w:vMerge w:val="continue"/>
            <w:vAlign w:val="center"/>
          </w:tcPr>
          <w:p>
            <w:pPr>
              <w:adjustRightInd w:val="0"/>
              <w:snapToGrid w:val="0"/>
              <w:spacing w:line="360" w:lineRule="auto"/>
              <w:jc w:val="both"/>
              <w:rPr>
                <w:rFonts w:ascii="仿宋_GB2312" w:eastAsia="仿宋_GB2312"/>
                <w:szCs w:val="21"/>
                <w:highlight w:val="none"/>
              </w:rPr>
            </w:pPr>
          </w:p>
        </w:tc>
        <w:tc>
          <w:tcPr>
            <w:tcW w:w="1566" w:type="dxa"/>
            <w:vMerge w:val="continue"/>
            <w:vAlign w:val="center"/>
          </w:tcPr>
          <w:p>
            <w:pPr>
              <w:adjustRightInd w:val="0"/>
              <w:snapToGrid w:val="0"/>
              <w:spacing w:line="360" w:lineRule="auto"/>
              <w:jc w:val="both"/>
              <w:rPr>
                <w:rFonts w:ascii="仿宋_GB2312" w:eastAsia="仿宋_GB2312"/>
                <w:szCs w:val="21"/>
                <w:highlight w:val="none"/>
              </w:rPr>
            </w:pPr>
          </w:p>
        </w:tc>
        <w:tc>
          <w:tcPr>
            <w:tcW w:w="3402" w:type="dxa"/>
            <w:vMerge w:val="continue"/>
            <w:vAlign w:val="center"/>
          </w:tcPr>
          <w:p>
            <w:pPr>
              <w:adjustRightInd w:val="0"/>
              <w:snapToGrid w:val="0"/>
              <w:spacing w:line="360" w:lineRule="auto"/>
              <w:jc w:val="both"/>
              <w:rPr>
                <w:rFonts w:ascii="仿宋_GB2312" w:eastAsia="仿宋_GB2312"/>
                <w:szCs w:val="21"/>
                <w:highlight w:val="none"/>
              </w:rPr>
            </w:pPr>
          </w:p>
        </w:tc>
        <w:tc>
          <w:tcPr>
            <w:tcW w:w="2976" w:type="dxa"/>
            <w:vMerge w:val="continue"/>
            <w:vAlign w:val="center"/>
          </w:tcPr>
          <w:p>
            <w:pPr>
              <w:adjustRightInd w:val="0"/>
              <w:snapToGrid w:val="0"/>
              <w:spacing w:line="360" w:lineRule="auto"/>
              <w:jc w:val="both"/>
              <w:rPr>
                <w:rFonts w:ascii="仿宋_GB2312" w:eastAsia="仿宋_GB2312"/>
                <w:szCs w:val="21"/>
                <w:highlight w:val="none"/>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highlight w:val="none"/>
              </w:rPr>
            </w:pPr>
          </w:p>
        </w:tc>
        <w:tc>
          <w:tcPr>
            <w:tcW w:w="2626" w:type="dxa"/>
            <w:vAlign w:val="center"/>
          </w:tcPr>
          <w:p>
            <w:pPr>
              <w:adjustRightInd w:val="0"/>
              <w:snapToGrid w:val="0"/>
              <w:spacing w:line="360" w:lineRule="auto"/>
              <w:jc w:val="both"/>
              <w:rPr>
                <w:rFonts w:ascii="仿宋_GB2312" w:hAnsi="宋体" w:eastAsia="仿宋_GB2312" w:cs="宋体"/>
                <w:szCs w:val="21"/>
                <w:highlight w:val="none"/>
              </w:rPr>
            </w:pPr>
            <w:r>
              <w:rPr>
                <w:rFonts w:hint="eastAsia" w:ascii="仿宋_GB2312" w:hAnsi="宋体" w:eastAsia="仿宋_GB2312" w:cs="宋体"/>
                <w:szCs w:val="21"/>
                <w:highlight w:val="none"/>
              </w:rPr>
              <w:t>影响依法开展的无线电业务的</w:t>
            </w:r>
          </w:p>
        </w:tc>
        <w:tc>
          <w:tcPr>
            <w:tcW w:w="1910" w:type="dxa"/>
            <w:vAlign w:val="center"/>
          </w:tcPr>
          <w:p>
            <w:pPr>
              <w:adjustRightInd w:val="0"/>
              <w:snapToGrid w:val="0"/>
              <w:spacing w:line="360" w:lineRule="auto"/>
              <w:jc w:val="both"/>
              <w:rPr>
                <w:rFonts w:ascii="仿宋_GB2312" w:hAnsi="宋体" w:eastAsia="仿宋_GB2312" w:cs="宋体"/>
                <w:szCs w:val="21"/>
                <w:highlight w:val="none"/>
              </w:rPr>
            </w:pPr>
            <w:r>
              <w:rPr>
                <w:rFonts w:hint="eastAsia" w:ascii="仿宋_GB2312" w:hAnsi="宋体" w:eastAsia="仿宋_GB2312" w:cs="宋体"/>
                <w:szCs w:val="21"/>
                <w:highlight w:val="none"/>
              </w:rPr>
              <w:t>没收违法所得，并处1万元以上3万元以下的罚款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highlight w:val="none"/>
              </w:rPr>
            </w:pPr>
          </w:p>
        </w:tc>
        <w:tc>
          <w:tcPr>
            <w:tcW w:w="1566" w:type="dxa"/>
            <w:vMerge w:val="continue"/>
            <w:vAlign w:val="center"/>
          </w:tcPr>
          <w:p>
            <w:pPr>
              <w:adjustRightInd w:val="0"/>
              <w:snapToGrid w:val="0"/>
              <w:spacing w:line="360" w:lineRule="auto"/>
              <w:jc w:val="both"/>
              <w:rPr>
                <w:rFonts w:ascii="仿宋_GB2312" w:eastAsia="仿宋_GB2312"/>
                <w:szCs w:val="21"/>
                <w:highlight w:val="none"/>
              </w:rPr>
            </w:pPr>
          </w:p>
        </w:tc>
        <w:tc>
          <w:tcPr>
            <w:tcW w:w="3402" w:type="dxa"/>
            <w:vMerge w:val="continue"/>
            <w:vAlign w:val="center"/>
          </w:tcPr>
          <w:p>
            <w:pPr>
              <w:adjustRightInd w:val="0"/>
              <w:snapToGrid w:val="0"/>
              <w:spacing w:line="360" w:lineRule="auto"/>
              <w:jc w:val="both"/>
              <w:rPr>
                <w:rFonts w:ascii="仿宋_GB2312" w:eastAsia="仿宋_GB2312"/>
                <w:szCs w:val="21"/>
                <w:highlight w:val="none"/>
              </w:rPr>
            </w:pPr>
          </w:p>
        </w:tc>
        <w:tc>
          <w:tcPr>
            <w:tcW w:w="2976" w:type="dxa"/>
            <w:vMerge w:val="continue"/>
            <w:vAlign w:val="center"/>
          </w:tcPr>
          <w:p>
            <w:pPr>
              <w:adjustRightInd w:val="0"/>
              <w:snapToGrid w:val="0"/>
              <w:spacing w:line="360" w:lineRule="auto"/>
              <w:jc w:val="both"/>
              <w:rPr>
                <w:rFonts w:ascii="仿宋_GB2312" w:eastAsia="仿宋_GB2312"/>
                <w:szCs w:val="21"/>
                <w:highlight w:val="none"/>
              </w:rPr>
            </w:pPr>
          </w:p>
        </w:tc>
        <w:tc>
          <w:tcPr>
            <w:tcW w:w="1276" w:type="dxa"/>
            <w:vAlign w:val="center"/>
          </w:tcPr>
          <w:p>
            <w:pPr>
              <w:adjustRightInd w:val="0"/>
              <w:snapToGrid w:val="0"/>
              <w:spacing w:line="360" w:lineRule="auto"/>
              <w:jc w:val="both"/>
              <w:rPr>
                <w:rFonts w:ascii="仿宋_GB2312" w:hAnsi="宋体" w:eastAsia="仿宋_GB2312" w:cs="宋体"/>
                <w:szCs w:val="21"/>
                <w:highlight w:val="none"/>
              </w:rPr>
            </w:pPr>
            <w:r>
              <w:rPr>
                <w:rFonts w:hint="eastAsia" w:ascii="仿宋_GB2312" w:hAnsi="宋体" w:eastAsia="仿宋_GB2312" w:cs="宋体"/>
                <w:szCs w:val="21"/>
                <w:highlight w:val="none"/>
              </w:rPr>
              <w:t>造成严重后果的</w:t>
            </w:r>
          </w:p>
        </w:tc>
        <w:tc>
          <w:tcPr>
            <w:tcW w:w="2626" w:type="dxa"/>
            <w:vAlign w:val="center"/>
          </w:tcPr>
          <w:p>
            <w:pPr>
              <w:spacing w:line="360" w:lineRule="auto"/>
              <w:jc w:val="both"/>
              <w:rPr>
                <w:rFonts w:ascii="仿宋_GB2312" w:eastAsia="仿宋_GB2312"/>
                <w:szCs w:val="21"/>
                <w:highlight w:val="none"/>
              </w:rPr>
            </w:pPr>
            <w:r>
              <w:rPr>
                <w:rFonts w:hint="eastAsia" w:ascii="仿宋_GB2312" w:hAnsi="宋体" w:eastAsia="仿宋_GB2312" w:cs="宋体"/>
                <w:szCs w:val="21"/>
                <w:highlight w:val="none"/>
              </w:rPr>
              <w:t>导致依法开展的无线电业务无法运行的</w:t>
            </w:r>
          </w:p>
        </w:tc>
        <w:tc>
          <w:tcPr>
            <w:tcW w:w="1910" w:type="dxa"/>
            <w:vAlign w:val="center"/>
          </w:tcPr>
          <w:p>
            <w:pPr>
              <w:adjustRightInd w:val="0"/>
              <w:snapToGrid w:val="0"/>
              <w:spacing w:line="360" w:lineRule="auto"/>
              <w:jc w:val="both"/>
              <w:rPr>
                <w:rFonts w:ascii="仿宋_GB2312" w:hAnsi="宋体" w:eastAsia="仿宋_GB2312" w:cs="宋体"/>
                <w:szCs w:val="21"/>
                <w:highlight w:val="none"/>
              </w:rPr>
            </w:pPr>
            <w:r>
              <w:rPr>
                <w:rFonts w:hint="eastAsia" w:ascii="仿宋_GB2312" w:hAnsi="宋体" w:eastAsia="仿宋_GB2312" w:cs="宋体"/>
                <w:szCs w:val="21"/>
                <w:highlight w:val="none"/>
              </w:rPr>
              <w:t>吊销无线电台执照，没收违法所得，并处3万元以上10万元以下的罚款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4" w:hRule="atLeast"/>
          <w:jc w:val="center"/>
        </w:trPr>
        <w:tc>
          <w:tcPr>
            <w:tcW w:w="556" w:type="dxa"/>
            <w:vMerge w:val="restart"/>
            <w:vAlign w:val="center"/>
          </w:tcPr>
          <w:p>
            <w:pPr>
              <w:adjustRightInd w:val="0"/>
              <w:snapToGrid w:val="0"/>
              <w:spacing w:line="360" w:lineRule="auto"/>
              <w:jc w:val="both"/>
              <w:rPr>
                <w:rFonts w:ascii="仿宋_GB2312" w:eastAsia="仿宋_GB2312"/>
                <w:szCs w:val="21"/>
              </w:rPr>
            </w:pPr>
            <w:r>
              <w:rPr>
                <w:rFonts w:hint="eastAsia" w:ascii="仿宋_GB2312" w:eastAsia="仿宋_GB2312"/>
                <w:szCs w:val="21"/>
              </w:rPr>
              <w:t>5</w:t>
            </w:r>
          </w:p>
        </w:tc>
        <w:tc>
          <w:tcPr>
            <w:tcW w:w="1566" w:type="dxa"/>
            <w:vMerge w:val="restart"/>
            <w:vAlign w:val="center"/>
          </w:tcPr>
          <w:p>
            <w:pPr>
              <w:adjustRightInd w:val="0"/>
              <w:snapToGrid w:val="0"/>
              <w:spacing w:line="360" w:lineRule="auto"/>
              <w:jc w:val="both"/>
              <w:rPr>
                <w:rFonts w:ascii="仿宋_GB2312" w:eastAsia="仿宋_GB2312"/>
                <w:szCs w:val="21"/>
              </w:rPr>
            </w:pPr>
            <w:r>
              <w:rPr>
                <w:rFonts w:hint="eastAsia" w:ascii="仿宋_GB2312" w:hAnsi="宋体" w:eastAsia="仿宋_GB2312" w:cs="宋体"/>
                <w:szCs w:val="21"/>
              </w:rPr>
              <w:t>擅自编制、使用无线电识别码的</w:t>
            </w:r>
          </w:p>
        </w:tc>
        <w:tc>
          <w:tcPr>
            <w:tcW w:w="3402" w:type="dxa"/>
            <w:vMerge w:val="restart"/>
            <w:vAlign w:val="center"/>
          </w:tcPr>
          <w:p>
            <w:pPr>
              <w:adjustRightInd w:val="0"/>
              <w:snapToGrid w:val="0"/>
              <w:spacing w:line="360" w:lineRule="auto"/>
              <w:jc w:val="both"/>
              <w:rPr>
                <w:rFonts w:hint="eastAsia" w:ascii="仿宋_GB2312" w:hAnsi="宋体" w:eastAsia="仿宋_GB2312" w:cs="宋体"/>
                <w:szCs w:val="21"/>
                <w:lang w:eastAsia="zh-CN"/>
              </w:rPr>
            </w:pPr>
            <w:r>
              <w:rPr>
                <w:rFonts w:hint="eastAsia" w:ascii="仿宋_GB2312" w:hAnsi="宋体" w:eastAsia="仿宋_GB2312" w:cs="宋体"/>
                <w:szCs w:val="21"/>
                <w:lang w:eastAsia="zh-CN"/>
              </w:rPr>
              <w:t>《中华人民共和国无线电管理条例》</w:t>
            </w:r>
          </w:p>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第三十一条</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无线电管理机构应当自受理申请之日起30个工作日内审查完毕，依照本条例第二十八条、第二十九条规定的条件，作出许可或者不予许可的决定。予以许可的，颁发无线电台执照，需要使用无线电台识别码的，同时核发无线电台识别码；不予许可的，书面通知申请人并说明理由。</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无线电台（站）需要变更、增加无线电台识别码的，由无线电管理机构核发。</w:t>
            </w:r>
          </w:p>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第三十四条</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国家无线电管理机构向国际电信联盟统一申请无线电台识别码序列，并对无线电台识别码进行编制和分配。</w:t>
            </w:r>
          </w:p>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第三十六条</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船舶、航空器、铁路机车（含动车组列车，下同）设置、使用制式无线电台应当符合国家有关规定，由国务院有关部门的无线电管理机构颁发无线电台执照；需要使用无线电台识别码的，同时核发无线电台识别码。国务院有关部门应当将制式无线电台执照及无线电台识别码的核发情况定期通报国家无线电管理机构。</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船舶、航空器、铁路机车设置、使用非制式无线电台的管理办法，由国家无线电管理机构会同国务院有关部门制定。</w:t>
            </w:r>
          </w:p>
        </w:tc>
        <w:tc>
          <w:tcPr>
            <w:tcW w:w="29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lang w:eastAsia="zh-CN"/>
              </w:rPr>
              <w:t>《中华人民共和国无线电管理条例》</w:t>
            </w:r>
            <w:r>
              <w:rPr>
                <w:rFonts w:hint="eastAsia" w:ascii="仿宋_GB2312" w:hAnsi="宋体" w:eastAsia="仿宋_GB2312" w:cs="宋体"/>
                <w:szCs w:val="21"/>
              </w:rPr>
              <w:t>第七十二条</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违反本条例规定，有下列行为之一的，由无线电管理机构责令改正，没收违法所得，可以并处3万元以下的罚款；造成严重后果的，吊销无线电台执照，并处3万元以上10万元以下的罚款：</w:t>
            </w:r>
          </w:p>
          <w:p>
            <w:pPr>
              <w:adjustRightInd w:val="0"/>
              <w:snapToGrid w:val="0"/>
              <w:spacing w:line="360" w:lineRule="auto"/>
              <w:ind w:firstLine="420" w:firstLineChars="200"/>
              <w:jc w:val="both"/>
              <w:rPr>
                <w:rFonts w:ascii="仿宋_GB2312" w:eastAsia="仿宋_GB2312"/>
                <w:szCs w:val="21"/>
              </w:rPr>
            </w:pPr>
            <w:r>
              <w:rPr>
                <w:rFonts w:hint="eastAsia" w:ascii="仿宋_GB2312" w:hAnsi="宋体" w:eastAsia="仿宋_GB2312" w:cs="宋体"/>
                <w:szCs w:val="21"/>
              </w:rPr>
              <w:t>（三）擅自编制、使用无线电台识别码。</w:t>
            </w:r>
          </w:p>
        </w:tc>
        <w:tc>
          <w:tcPr>
            <w:tcW w:w="3902" w:type="dxa"/>
            <w:gridSpan w:val="2"/>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尚未造成严重后果，责令改正，已经改正的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尚未造成严重后果，责令改正，拒不改正的</w:t>
            </w: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eastAsia="仿宋_GB2312" w:cs="宋体"/>
                <w:color w:val="000000" w:themeColor="text1"/>
                <w:szCs w:val="21"/>
                <w14:textFill>
                  <w14:solidFill>
                    <w14:schemeClr w14:val="tx1"/>
                  </w14:solidFill>
                </w14:textFill>
              </w:rPr>
              <w:t>尚未影响电台识别工作或者产生其他不利影响的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没收违法所得，并处</w:t>
            </w:r>
            <w:r>
              <w:rPr>
                <w:rFonts w:ascii="仿宋_GB2312" w:hAnsi="宋体" w:eastAsia="仿宋_GB2312" w:cs="宋体"/>
                <w:szCs w:val="21"/>
              </w:rPr>
              <w:t>1</w:t>
            </w:r>
            <w:r>
              <w:rPr>
                <w:rFonts w:hint="eastAsia" w:ascii="仿宋_GB2312" w:hAnsi="宋体" w:eastAsia="仿宋_GB2312" w:cs="宋体"/>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color w:val="000000" w:themeColor="text1"/>
                <w:szCs w:val="21"/>
                <w14:textFill>
                  <w14:solidFill>
                    <w14:schemeClr w14:val="tx1"/>
                  </w14:solidFill>
                </w14:textFill>
              </w:rPr>
              <w:t>影响</w:t>
            </w:r>
            <w:r>
              <w:rPr>
                <w:rFonts w:hint="eastAsia" w:ascii="仿宋_GB2312" w:eastAsia="仿宋_GB2312" w:cs="宋体"/>
                <w:color w:val="000000" w:themeColor="text1"/>
                <w:szCs w:val="21"/>
                <w14:textFill>
                  <w14:solidFill>
                    <w14:schemeClr w14:val="tx1"/>
                  </w14:solidFill>
                </w14:textFill>
              </w:rPr>
              <w:t>电台识别工作或者产生其他不利影响的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没收违法所得，并处</w:t>
            </w:r>
            <w:r>
              <w:rPr>
                <w:rFonts w:ascii="仿宋_GB2312" w:hAnsi="宋体" w:eastAsia="仿宋_GB2312" w:cs="宋体"/>
                <w:szCs w:val="21"/>
              </w:rPr>
              <w:t>1</w:t>
            </w:r>
            <w:r>
              <w:rPr>
                <w:rFonts w:hint="eastAsia" w:ascii="仿宋_GB2312" w:hAnsi="宋体" w:eastAsia="仿宋_GB2312" w:cs="宋体"/>
                <w:szCs w:val="21"/>
              </w:rPr>
              <w:t>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highlight w:val="none"/>
              </w:rPr>
            </w:pPr>
          </w:p>
        </w:tc>
        <w:tc>
          <w:tcPr>
            <w:tcW w:w="1566" w:type="dxa"/>
            <w:vMerge w:val="continue"/>
            <w:vAlign w:val="center"/>
          </w:tcPr>
          <w:p>
            <w:pPr>
              <w:adjustRightInd w:val="0"/>
              <w:snapToGrid w:val="0"/>
              <w:spacing w:line="360" w:lineRule="auto"/>
              <w:jc w:val="both"/>
              <w:rPr>
                <w:rFonts w:ascii="仿宋_GB2312" w:eastAsia="仿宋_GB2312"/>
                <w:szCs w:val="21"/>
                <w:highlight w:val="none"/>
              </w:rPr>
            </w:pPr>
          </w:p>
        </w:tc>
        <w:tc>
          <w:tcPr>
            <w:tcW w:w="3402" w:type="dxa"/>
            <w:vMerge w:val="continue"/>
            <w:vAlign w:val="center"/>
          </w:tcPr>
          <w:p>
            <w:pPr>
              <w:adjustRightInd w:val="0"/>
              <w:snapToGrid w:val="0"/>
              <w:spacing w:line="360" w:lineRule="auto"/>
              <w:jc w:val="both"/>
              <w:rPr>
                <w:rFonts w:ascii="仿宋_GB2312" w:eastAsia="仿宋_GB2312"/>
                <w:szCs w:val="21"/>
                <w:highlight w:val="none"/>
              </w:rPr>
            </w:pPr>
          </w:p>
        </w:tc>
        <w:tc>
          <w:tcPr>
            <w:tcW w:w="2976" w:type="dxa"/>
            <w:vMerge w:val="continue"/>
            <w:vAlign w:val="center"/>
          </w:tcPr>
          <w:p>
            <w:pPr>
              <w:adjustRightInd w:val="0"/>
              <w:snapToGrid w:val="0"/>
              <w:spacing w:line="360" w:lineRule="auto"/>
              <w:jc w:val="both"/>
              <w:rPr>
                <w:rFonts w:ascii="仿宋_GB2312" w:eastAsia="仿宋_GB2312"/>
                <w:szCs w:val="21"/>
                <w:highlight w:val="none"/>
              </w:rPr>
            </w:pPr>
          </w:p>
        </w:tc>
        <w:tc>
          <w:tcPr>
            <w:tcW w:w="1276" w:type="dxa"/>
            <w:vAlign w:val="center"/>
          </w:tcPr>
          <w:p>
            <w:pPr>
              <w:adjustRightInd w:val="0"/>
              <w:snapToGrid w:val="0"/>
              <w:spacing w:line="360" w:lineRule="auto"/>
              <w:jc w:val="both"/>
              <w:rPr>
                <w:rFonts w:ascii="仿宋_GB2312" w:hAnsi="宋体" w:eastAsia="仿宋_GB2312" w:cs="宋体"/>
                <w:szCs w:val="21"/>
                <w:highlight w:val="none"/>
              </w:rPr>
            </w:pPr>
            <w:r>
              <w:rPr>
                <w:rFonts w:hint="eastAsia" w:ascii="仿宋_GB2312" w:hAnsi="宋体" w:eastAsia="仿宋_GB2312" w:cs="宋体"/>
                <w:szCs w:val="21"/>
                <w:highlight w:val="none"/>
              </w:rPr>
              <w:t>造成严重后果的</w:t>
            </w:r>
          </w:p>
        </w:tc>
        <w:tc>
          <w:tcPr>
            <w:tcW w:w="2626" w:type="dxa"/>
            <w:vAlign w:val="center"/>
          </w:tcPr>
          <w:p>
            <w:pPr>
              <w:spacing w:line="360" w:lineRule="auto"/>
              <w:jc w:val="both"/>
              <w:rPr>
                <w:rFonts w:ascii="仿宋_GB2312" w:eastAsia="仿宋_GB2312"/>
                <w:szCs w:val="21"/>
                <w:highlight w:val="none"/>
              </w:rPr>
            </w:pPr>
            <w:r>
              <w:rPr>
                <w:rFonts w:hint="eastAsia" w:ascii="仿宋_GB2312" w:hAnsi="宋体" w:eastAsia="仿宋_GB2312" w:cs="宋体"/>
                <w:szCs w:val="21"/>
                <w:highlight w:val="none"/>
              </w:rPr>
              <w:t>严重影响电台识别工作，对其他生产经营活动产生重大不利影响的</w:t>
            </w:r>
          </w:p>
        </w:tc>
        <w:tc>
          <w:tcPr>
            <w:tcW w:w="1910" w:type="dxa"/>
            <w:vAlign w:val="center"/>
          </w:tcPr>
          <w:p>
            <w:pPr>
              <w:adjustRightInd w:val="0"/>
              <w:snapToGrid w:val="0"/>
              <w:spacing w:line="360" w:lineRule="auto"/>
              <w:jc w:val="both"/>
              <w:rPr>
                <w:rFonts w:ascii="仿宋_GB2312" w:hAnsi="宋体" w:eastAsia="仿宋_GB2312" w:cs="宋体"/>
                <w:szCs w:val="21"/>
                <w:highlight w:val="none"/>
              </w:rPr>
            </w:pPr>
            <w:r>
              <w:rPr>
                <w:rFonts w:hint="eastAsia" w:ascii="仿宋_GB2312" w:hAnsi="宋体" w:eastAsia="仿宋_GB2312" w:cs="宋体"/>
                <w:szCs w:val="21"/>
                <w:highlight w:val="none"/>
              </w:rPr>
              <w:t>吊销无线电台执照，没收违法所得，并处3万元以上10万元以下的罚款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restart"/>
            <w:vAlign w:val="center"/>
          </w:tcPr>
          <w:p>
            <w:pPr>
              <w:adjustRightInd w:val="0"/>
              <w:snapToGrid w:val="0"/>
              <w:spacing w:line="360" w:lineRule="auto"/>
              <w:jc w:val="both"/>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6</w:t>
            </w:r>
          </w:p>
        </w:tc>
        <w:tc>
          <w:tcPr>
            <w:tcW w:w="1566" w:type="dxa"/>
            <w:vMerge w:val="restart"/>
            <w:vAlign w:val="center"/>
          </w:tcPr>
          <w:p>
            <w:pPr>
              <w:adjustRightInd w:val="0"/>
              <w:snapToGrid w:val="0"/>
              <w:spacing w:line="360" w:lineRule="auto"/>
              <w:jc w:val="both"/>
              <w:rPr>
                <w:rFonts w:ascii="仿宋_GB2312" w:eastAsia="仿宋_GB2312"/>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使用无线电发射设备、辐射无线电波的非无线电设备干扰无线电业务正常进行的</w:t>
            </w:r>
          </w:p>
        </w:tc>
        <w:tc>
          <w:tcPr>
            <w:tcW w:w="3402" w:type="dxa"/>
            <w:vMerge w:val="restart"/>
            <w:vAlign w:val="center"/>
          </w:tcPr>
          <w:p>
            <w:pPr>
              <w:adjustRightInd w:val="0"/>
              <w:snapToGrid w:val="0"/>
              <w:spacing w:line="360" w:lineRule="auto"/>
              <w:jc w:val="both"/>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《中华人民共和国无线电管理条例》</w:t>
            </w:r>
            <w:r>
              <w:rPr>
                <w:rFonts w:hint="eastAsia" w:ascii="仿宋_GB2312" w:hAnsi="宋体" w:eastAsia="仿宋_GB2312" w:cs="宋体"/>
                <w:color w:val="000000" w:themeColor="text1"/>
                <w:szCs w:val="21"/>
                <w14:textFill>
                  <w14:solidFill>
                    <w14:schemeClr w14:val="tx1"/>
                  </w14:solidFill>
                </w14:textFill>
              </w:rPr>
              <w:t>第六条</w:t>
            </w:r>
          </w:p>
          <w:p>
            <w:pPr>
              <w:adjustRightInd w:val="0"/>
              <w:snapToGrid w:val="0"/>
              <w:spacing w:line="360" w:lineRule="auto"/>
              <w:ind w:firstLine="420" w:firstLineChars="200"/>
              <w:jc w:val="both"/>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任何单位或者个人不得擅自使用无线电频率，不得对依法开展的无线电业务造成有害干扰，不得利用无线电台（站）进行违法犯罪活动。</w:t>
            </w:r>
          </w:p>
          <w:p>
            <w:pPr>
              <w:adjustRightInd w:val="0"/>
              <w:snapToGrid w:val="0"/>
              <w:spacing w:line="360" w:lineRule="auto"/>
              <w:jc w:val="both"/>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第三十九条</w:t>
            </w:r>
          </w:p>
          <w:p>
            <w:pPr>
              <w:adjustRightInd w:val="0"/>
              <w:snapToGrid w:val="0"/>
              <w:spacing w:line="360" w:lineRule="auto"/>
              <w:ind w:firstLine="420" w:firstLineChars="200"/>
              <w:jc w:val="both"/>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使用无线电台（站）的单位或者个人应当对无线电台（站）进行定期维护，保证其性能指标符合国家标准和国家无线电管理的有关规定，避免对其他依法设置、使用的无线电台（站）产生有害干扰。</w:t>
            </w:r>
          </w:p>
          <w:p>
            <w:pPr>
              <w:adjustRightInd w:val="0"/>
              <w:snapToGrid w:val="0"/>
              <w:spacing w:line="360" w:lineRule="auto"/>
              <w:jc w:val="both"/>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第六十条</w:t>
            </w:r>
          </w:p>
          <w:p>
            <w:pPr>
              <w:adjustRightInd w:val="0"/>
              <w:snapToGrid w:val="0"/>
              <w:spacing w:line="360" w:lineRule="auto"/>
              <w:ind w:firstLine="420" w:firstLineChars="200"/>
              <w:jc w:val="both"/>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辐射无线电波的非无线电设备对已依法设置、使用的无线电台（站）产生有害干扰的，设备所有者或者使用者应当采取措施予以消除。</w:t>
            </w:r>
          </w:p>
          <w:p>
            <w:pPr>
              <w:spacing w:line="360" w:lineRule="auto"/>
              <w:jc w:val="both"/>
              <w:rPr>
                <w:rFonts w:ascii="仿宋_GB2312"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第六十四条</w:t>
            </w:r>
          </w:p>
          <w:p>
            <w:pPr>
              <w:adjustRightInd w:val="0"/>
              <w:snapToGrid w:val="0"/>
              <w:spacing w:line="360" w:lineRule="auto"/>
              <w:ind w:firstLine="420" w:firstLineChars="200"/>
              <w:jc w:val="both"/>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国家对船舶、航天器、航空器、铁路机车专用的无线电导航、遇险救助和安全通信等涉及人身安全的无线电频率予以特别保护。任何无线电发射设备和辐射无线电波的非无线电设备对其产生有害干扰的，应当立即消除有害干扰。</w:t>
            </w:r>
          </w:p>
        </w:tc>
        <w:tc>
          <w:tcPr>
            <w:tcW w:w="2976" w:type="dxa"/>
            <w:vMerge w:val="restart"/>
            <w:vAlign w:val="center"/>
          </w:tcPr>
          <w:p>
            <w:pPr>
              <w:adjustRightInd w:val="0"/>
              <w:snapToGrid w:val="0"/>
              <w:spacing w:line="360" w:lineRule="auto"/>
              <w:jc w:val="both"/>
              <w:rPr>
                <w:rFonts w:ascii="仿宋_GB2312" w:hAnsi="宋体" w:eastAsia="仿宋_GB2312" w:cs="宋体"/>
                <w:color w:val="000000" w:themeColor="text1"/>
                <w:szCs w:val="21"/>
                <w14:textFill>
                  <w14:solidFill>
                    <w14:schemeClr w14:val="tx1"/>
                  </w14:solidFill>
                </w14:textFill>
              </w:rPr>
            </w:pPr>
          </w:p>
          <w:p>
            <w:pPr>
              <w:adjustRightInd w:val="0"/>
              <w:snapToGrid w:val="0"/>
              <w:spacing w:line="360" w:lineRule="auto"/>
              <w:jc w:val="both"/>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lang w:eastAsia="zh-CN"/>
                <w14:textFill>
                  <w14:solidFill>
                    <w14:schemeClr w14:val="tx1"/>
                  </w14:solidFill>
                </w14:textFill>
              </w:rPr>
              <w:t>《中华人民共和国无线电管理条例》</w:t>
            </w:r>
            <w:r>
              <w:rPr>
                <w:rFonts w:hint="eastAsia" w:ascii="仿宋_GB2312" w:hAnsi="宋体" w:eastAsia="仿宋_GB2312" w:cs="宋体"/>
                <w:color w:val="000000" w:themeColor="text1"/>
                <w:szCs w:val="21"/>
                <w14:textFill>
                  <w14:solidFill>
                    <w14:schemeClr w14:val="tx1"/>
                  </w14:solidFill>
                </w14:textFill>
              </w:rPr>
              <w:t>第七十三条</w:t>
            </w:r>
          </w:p>
          <w:p>
            <w:pPr>
              <w:adjustRightInd w:val="0"/>
              <w:snapToGrid w:val="0"/>
              <w:spacing w:line="360" w:lineRule="auto"/>
              <w:ind w:firstLine="420" w:firstLineChars="200"/>
              <w:jc w:val="both"/>
              <w:rPr>
                <w:rFonts w:ascii="仿宋_GB2312" w:eastAsia="仿宋_GB2312"/>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违反本条例规定，使用无线电发射设备、辐射无线电波的非无线电设备干扰无线电业务正常进行的，由无线电管理机构责令改正，拒不改正的，没收产生有害干扰的设备，并处5万元以上20万元以下的罚款，吊销无线电台执照；对船舶、航天器、航空器、铁路机车专用无线电导航、遇险救助和安全通信等涉及人身安全的无线电频率产生有害干扰的，并处20万元以上50万元以下的罚款。</w:t>
            </w:r>
          </w:p>
        </w:tc>
        <w:tc>
          <w:tcPr>
            <w:tcW w:w="1276" w:type="dxa"/>
            <w:vMerge w:val="restart"/>
            <w:vAlign w:val="center"/>
          </w:tcPr>
          <w:p>
            <w:pPr>
              <w:adjustRightInd w:val="0"/>
              <w:snapToGrid w:val="0"/>
              <w:spacing w:line="360" w:lineRule="auto"/>
              <w:jc w:val="both"/>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责令改正，拒不改正的</w:t>
            </w:r>
          </w:p>
        </w:tc>
        <w:tc>
          <w:tcPr>
            <w:tcW w:w="2626" w:type="dxa"/>
            <w:vAlign w:val="center"/>
          </w:tcPr>
          <w:p>
            <w:pPr>
              <w:adjustRightInd w:val="0"/>
              <w:snapToGrid w:val="0"/>
              <w:spacing w:line="360" w:lineRule="auto"/>
              <w:jc w:val="both"/>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对一般无线电台（站）造成有害干扰或者影响其他依法开展的无线电业务的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没收产生有害干扰的设备，并处5万元以上15万元以下的罚款，吊销无线电台执照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color w:val="000000" w:themeColor="text1"/>
                <w:szCs w:val="21"/>
                <w14:textFill>
                  <w14:solidFill>
                    <w14:schemeClr w14:val="tx1"/>
                  </w14:solidFill>
                </w14:textFill>
              </w:rPr>
            </w:pPr>
            <w:r>
              <w:rPr>
                <w:rFonts w:hint="eastAsia" w:ascii="仿宋_GB2312" w:hAnsi="宋体" w:eastAsia="仿宋_GB2312" w:cs="宋体"/>
                <w:color w:val="000000" w:themeColor="text1"/>
                <w:szCs w:val="21"/>
                <w14:textFill>
                  <w14:solidFill>
                    <w14:schemeClr w14:val="tx1"/>
                  </w14:solidFill>
                </w14:textFill>
              </w:rPr>
              <w:t>对重点无线电台（站）（涉及船舶、航天器、航空器、铁路机车专用无线电导航、遇险救助和安全通信的除外）造成有害干扰的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没收产生有害干扰的设备，并处15万元以上20万元以下的罚款，吊销无线电台执照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对船舶专用的无线电导航、遇险救助与安全通信等涉及人身安全的无线电频率产生有害干扰的</w:t>
            </w: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干扰时间（累计）不足10分钟的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没收产生有害干扰的设备，并处20万元以上35万元以下的罚款，吊销无线电台执照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干扰时间（累计）在10分钟以上的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没收产生有害干扰的设备，并处35万元以上50万元以下的罚款，吊销无线电台执照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对航空器、铁路机车专用的无线电导航、遇险救助与安全通信等涉及人身安全的无线电频率产生有害干扰的</w:t>
            </w:r>
          </w:p>
        </w:tc>
        <w:tc>
          <w:tcPr>
            <w:tcW w:w="2626" w:type="dxa"/>
            <w:vAlign w:val="center"/>
          </w:tcPr>
          <w:p>
            <w:pPr>
              <w:spacing w:line="360" w:lineRule="auto"/>
              <w:jc w:val="both"/>
              <w:rPr>
                <w:rFonts w:ascii="仿宋_GB2312" w:eastAsia="仿宋_GB2312"/>
                <w:szCs w:val="21"/>
              </w:rPr>
            </w:pPr>
            <w:r>
              <w:rPr>
                <w:rFonts w:hint="eastAsia" w:ascii="仿宋_GB2312" w:hAnsi="宋体" w:eastAsia="仿宋_GB2312" w:cs="宋体"/>
                <w:szCs w:val="21"/>
              </w:rPr>
              <w:t>干扰时间（累计）不足3分钟的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没收产生有害干扰的设备，并处20万元以上35万元以下的罚款，吊销无线电台执照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干扰时间（累计）在3分钟以上的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没收产生有害干扰的设备，并处35万元以上50万元以下的罚款，吊销无线电台执照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3902" w:type="dxa"/>
            <w:gridSpan w:val="2"/>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对航天器专用的无线电导航、遇险救助与安全通信等涉及人身安全的无线电频率产生有害干扰的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没收产生有害干扰的设备，并处40万元以上50万元以下的罚款，吊销无线电台执照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restart"/>
            <w:vAlign w:val="center"/>
          </w:tcPr>
          <w:p>
            <w:pPr>
              <w:adjustRightInd w:val="0"/>
              <w:snapToGrid w:val="0"/>
              <w:spacing w:line="360" w:lineRule="auto"/>
              <w:jc w:val="both"/>
              <w:rPr>
                <w:rFonts w:ascii="仿宋_GB2312" w:eastAsia="仿宋_GB2312"/>
                <w:szCs w:val="21"/>
              </w:rPr>
            </w:pPr>
            <w:r>
              <w:rPr>
                <w:rFonts w:hint="eastAsia" w:ascii="仿宋_GB2312" w:eastAsia="仿宋_GB2312"/>
                <w:szCs w:val="21"/>
              </w:rPr>
              <w:t>7</w:t>
            </w:r>
          </w:p>
        </w:tc>
        <w:tc>
          <w:tcPr>
            <w:tcW w:w="1566" w:type="dxa"/>
            <w:vMerge w:val="restart"/>
            <w:vAlign w:val="center"/>
          </w:tcPr>
          <w:p>
            <w:pPr>
              <w:adjustRightInd w:val="0"/>
              <w:snapToGrid w:val="0"/>
              <w:spacing w:line="360" w:lineRule="auto"/>
              <w:jc w:val="both"/>
              <w:rPr>
                <w:rFonts w:ascii="仿宋_GB2312" w:eastAsia="仿宋_GB2312"/>
                <w:szCs w:val="21"/>
              </w:rPr>
            </w:pPr>
            <w:r>
              <w:rPr>
                <w:rFonts w:hint="eastAsia" w:ascii="仿宋_GB2312" w:hAnsi="宋体" w:eastAsia="仿宋_GB2312" w:cs="宋体"/>
                <w:szCs w:val="21"/>
              </w:rPr>
              <w:t>研制、生产、销售和维修大功率无线电发射设备，未采取有效措施抑制电波发射的</w:t>
            </w:r>
          </w:p>
        </w:tc>
        <w:tc>
          <w:tcPr>
            <w:tcW w:w="3402"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lang w:eastAsia="zh-CN"/>
              </w:rPr>
              <w:t>《中华人民共和国无线电管理条例》</w:t>
            </w:r>
            <w:r>
              <w:rPr>
                <w:rFonts w:hint="eastAsia" w:ascii="仿宋_GB2312" w:hAnsi="宋体" w:eastAsia="仿宋_GB2312" w:cs="宋体"/>
                <w:szCs w:val="21"/>
              </w:rPr>
              <w:t>第五十条</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研制、生产、销售和维修大功率无线电发射设备，应当采取措施有效抑制电波发射，不得对依法设置、使用的无线电台（站）产生有害干扰。</w:t>
            </w:r>
          </w:p>
        </w:tc>
        <w:tc>
          <w:tcPr>
            <w:tcW w:w="29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lang w:eastAsia="zh-CN"/>
              </w:rPr>
              <w:t>《中华人民共和国无线电管理条例》</w:t>
            </w:r>
            <w:r>
              <w:rPr>
                <w:rFonts w:hint="eastAsia" w:ascii="仿宋_GB2312" w:hAnsi="宋体" w:eastAsia="仿宋_GB2312" w:cs="宋体"/>
                <w:szCs w:val="21"/>
              </w:rPr>
              <w:t>第七十五条</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违反本条例规定，有下列行为之一的，由无线电管理机构责令改正；拒不改正的，没收从事违法活动的设备，并处3万元以上10万元以下的罚款；造成严重后果的，并处10万元以上30万元以下的罚款：</w:t>
            </w:r>
          </w:p>
          <w:p>
            <w:pPr>
              <w:adjustRightInd w:val="0"/>
              <w:snapToGrid w:val="0"/>
              <w:spacing w:line="360" w:lineRule="auto"/>
              <w:ind w:firstLine="420" w:firstLineChars="200"/>
              <w:jc w:val="both"/>
              <w:rPr>
                <w:rFonts w:ascii="仿宋_GB2312" w:eastAsia="仿宋_GB2312"/>
                <w:szCs w:val="21"/>
              </w:rPr>
            </w:pPr>
            <w:r>
              <w:rPr>
                <w:rFonts w:hint="eastAsia" w:ascii="仿宋_GB2312" w:hAnsi="宋体" w:eastAsia="仿宋_GB2312" w:cs="宋体"/>
                <w:szCs w:val="21"/>
              </w:rPr>
              <w:t>（一）研制、生产、销售和维修大功率无线电发射设备，未采取有效措施抑制电波发射；</w:t>
            </w:r>
          </w:p>
        </w:tc>
        <w:tc>
          <w:tcPr>
            <w:tcW w:w="12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尚未造成严重后果，责令改正，拒不改正的</w:t>
            </w: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未对正常运行的无线电台</w:t>
            </w:r>
            <w:r>
              <w:rPr>
                <w:rFonts w:ascii="仿宋_GB2312" w:hAnsi="宋体" w:eastAsia="仿宋_GB2312" w:cs="宋体"/>
                <w:szCs w:val="21"/>
              </w:rPr>
              <w:t>(站)产生有害干扰的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没收从事违法活动的设备，并处3万元以上6万元以下的罚款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highlight w:val="none"/>
              </w:rPr>
            </w:pPr>
          </w:p>
        </w:tc>
        <w:tc>
          <w:tcPr>
            <w:tcW w:w="1566" w:type="dxa"/>
            <w:vMerge w:val="continue"/>
            <w:vAlign w:val="center"/>
          </w:tcPr>
          <w:p>
            <w:pPr>
              <w:adjustRightInd w:val="0"/>
              <w:snapToGrid w:val="0"/>
              <w:spacing w:line="360" w:lineRule="auto"/>
              <w:jc w:val="both"/>
              <w:rPr>
                <w:rFonts w:ascii="仿宋_GB2312" w:eastAsia="仿宋_GB2312"/>
                <w:szCs w:val="21"/>
                <w:highlight w:val="none"/>
              </w:rPr>
            </w:pPr>
          </w:p>
        </w:tc>
        <w:tc>
          <w:tcPr>
            <w:tcW w:w="3402" w:type="dxa"/>
            <w:vMerge w:val="continue"/>
            <w:vAlign w:val="center"/>
          </w:tcPr>
          <w:p>
            <w:pPr>
              <w:adjustRightInd w:val="0"/>
              <w:snapToGrid w:val="0"/>
              <w:spacing w:line="360" w:lineRule="auto"/>
              <w:jc w:val="both"/>
              <w:rPr>
                <w:rFonts w:ascii="仿宋_GB2312" w:eastAsia="仿宋_GB2312"/>
                <w:szCs w:val="21"/>
                <w:highlight w:val="none"/>
              </w:rPr>
            </w:pPr>
          </w:p>
        </w:tc>
        <w:tc>
          <w:tcPr>
            <w:tcW w:w="2976" w:type="dxa"/>
            <w:vMerge w:val="continue"/>
            <w:vAlign w:val="center"/>
          </w:tcPr>
          <w:p>
            <w:pPr>
              <w:adjustRightInd w:val="0"/>
              <w:snapToGrid w:val="0"/>
              <w:spacing w:line="360" w:lineRule="auto"/>
              <w:jc w:val="both"/>
              <w:rPr>
                <w:rFonts w:ascii="仿宋_GB2312" w:eastAsia="仿宋_GB2312"/>
                <w:szCs w:val="21"/>
                <w:highlight w:val="none"/>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highlight w:val="none"/>
              </w:rPr>
            </w:pPr>
          </w:p>
        </w:tc>
        <w:tc>
          <w:tcPr>
            <w:tcW w:w="2626" w:type="dxa"/>
            <w:vAlign w:val="center"/>
          </w:tcPr>
          <w:p>
            <w:pPr>
              <w:adjustRightInd w:val="0"/>
              <w:snapToGrid w:val="0"/>
              <w:spacing w:line="360" w:lineRule="auto"/>
              <w:jc w:val="both"/>
              <w:rPr>
                <w:rFonts w:ascii="仿宋_GB2312" w:hAnsi="宋体" w:eastAsia="仿宋_GB2312" w:cs="宋体"/>
                <w:szCs w:val="21"/>
                <w:highlight w:val="none"/>
              </w:rPr>
            </w:pPr>
            <w:r>
              <w:rPr>
                <w:rFonts w:hint="eastAsia" w:ascii="仿宋_GB2312" w:hAnsi="宋体" w:eastAsia="仿宋_GB2312" w:cs="宋体"/>
                <w:color w:val="000000" w:themeColor="text1"/>
                <w:szCs w:val="21"/>
                <w:highlight w:val="none"/>
                <w14:textFill>
                  <w14:solidFill>
                    <w14:schemeClr w14:val="tx1"/>
                  </w14:solidFill>
                </w14:textFill>
              </w:rPr>
              <w:t>对一般无线电台（站）造成有害干扰或者影响其他依法开展的无线电业务的</w:t>
            </w:r>
          </w:p>
        </w:tc>
        <w:tc>
          <w:tcPr>
            <w:tcW w:w="1910" w:type="dxa"/>
            <w:vAlign w:val="center"/>
          </w:tcPr>
          <w:p>
            <w:pPr>
              <w:adjustRightInd w:val="0"/>
              <w:snapToGrid w:val="0"/>
              <w:spacing w:line="360" w:lineRule="auto"/>
              <w:jc w:val="both"/>
              <w:rPr>
                <w:rFonts w:ascii="仿宋_GB2312" w:hAnsi="宋体" w:eastAsia="仿宋_GB2312" w:cs="宋体"/>
                <w:szCs w:val="21"/>
                <w:highlight w:val="none"/>
              </w:rPr>
            </w:pPr>
            <w:r>
              <w:rPr>
                <w:rFonts w:hint="eastAsia" w:ascii="仿宋_GB2312" w:hAnsi="宋体" w:eastAsia="仿宋_GB2312" w:cs="宋体"/>
                <w:szCs w:val="21"/>
                <w:highlight w:val="none"/>
              </w:rPr>
              <w:t>没收从事违法活动的设备，并处6万元以上10万元以下的罚款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造成严重后果的</w:t>
            </w:r>
          </w:p>
        </w:tc>
        <w:tc>
          <w:tcPr>
            <w:tcW w:w="2626" w:type="dxa"/>
            <w:vAlign w:val="center"/>
          </w:tcPr>
          <w:p>
            <w:pPr>
              <w:spacing w:line="360" w:lineRule="auto"/>
              <w:jc w:val="both"/>
              <w:rPr>
                <w:rFonts w:ascii="仿宋_GB2312" w:eastAsia="仿宋_GB2312"/>
                <w:szCs w:val="21"/>
              </w:rPr>
            </w:pPr>
            <w:r>
              <w:rPr>
                <w:rFonts w:hint="eastAsia" w:ascii="仿宋_GB2312" w:hAnsi="宋体" w:eastAsia="仿宋_GB2312" w:cs="宋体"/>
                <w:szCs w:val="21"/>
              </w:rPr>
              <w:t>对重点无线电台（站）造成有害干扰的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没收从事违法活动的设备，并处10万元以上30万元以下的罚款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restart"/>
            <w:vAlign w:val="center"/>
          </w:tcPr>
          <w:p>
            <w:pPr>
              <w:adjustRightInd w:val="0"/>
              <w:snapToGrid w:val="0"/>
              <w:spacing w:line="360" w:lineRule="auto"/>
              <w:jc w:val="both"/>
              <w:rPr>
                <w:rFonts w:ascii="仿宋_GB2312" w:eastAsia="仿宋_GB2312"/>
                <w:color w:val="FF0000"/>
                <w:szCs w:val="21"/>
              </w:rPr>
            </w:pPr>
            <w:r>
              <w:rPr>
                <w:rFonts w:hint="eastAsia" w:ascii="仿宋_GB2312" w:hAnsi="宋体" w:eastAsia="仿宋_GB2312" w:cs="宋体"/>
                <w:szCs w:val="21"/>
              </w:rPr>
              <w:t>8</w:t>
            </w:r>
          </w:p>
        </w:tc>
        <w:tc>
          <w:tcPr>
            <w:tcW w:w="1566" w:type="dxa"/>
            <w:vMerge w:val="restart"/>
            <w:vAlign w:val="center"/>
          </w:tcPr>
          <w:p>
            <w:pPr>
              <w:adjustRightInd w:val="0"/>
              <w:snapToGrid w:val="0"/>
              <w:spacing w:line="360" w:lineRule="auto"/>
              <w:jc w:val="both"/>
              <w:rPr>
                <w:rFonts w:ascii="仿宋_GB2312" w:eastAsia="仿宋_GB2312"/>
                <w:szCs w:val="21"/>
              </w:rPr>
            </w:pPr>
            <w:r>
              <w:rPr>
                <w:rFonts w:hint="eastAsia" w:ascii="仿宋_GB2312" w:hAnsi="宋体" w:eastAsia="仿宋_GB2312" w:cs="宋体"/>
                <w:szCs w:val="21"/>
              </w:rPr>
              <w:t>境外组织或者个人在我国境内进行电波参数测试</w:t>
            </w:r>
            <w:r>
              <w:rPr>
                <w:rFonts w:hint="eastAsia" w:ascii="仿宋_GB2312" w:hAnsi="宋体" w:eastAsia="仿宋_GB2312" w:cs="宋体"/>
                <w:szCs w:val="21"/>
                <w:lang w:eastAsia="zh-CN"/>
              </w:rPr>
              <w:t>或者</w:t>
            </w:r>
            <w:r>
              <w:rPr>
                <w:rFonts w:hint="eastAsia" w:ascii="仿宋_GB2312" w:hAnsi="宋体" w:eastAsia="仿宋_GB2312" w:cs="宋体"/>
                <w:szCs w:val="21"/>
              </w:rPr>
              <w:t>电波监测的</w:t>
            </w:r>
          </w:p>
        </w:tc>
        <w:tc>
          <w:tcPr>
            <w:tcW w:w="3402"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lang w:eastAsia="zh-CN"/>
              </w:rPr>
              <w:t>《中华人民共和国无线电管理条例》</w:t>
            </w:r>
            <w:r>
              <w:rPr>
                <w:rFonts w:hint="eastAsia" w:ascii="仿宋_GB2312" w:hAnsi="宋体" w:eastAsia="仿宋_GB2312" w:cs="宋体"/>
                <w:szCs w:val="21"/>
              </w:rPr>
              <w:t>第五十五条</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境外组织或者个人不得在我国境内进行电波参数测试或者电波监测。</w:t>
            </w:r>
          </w:p>
        </w:tc>
        <w:tc>
          <w:tcPr>
            <w:tcW w:w="29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lang w:eastAsia="zh-CN"/>
              </w:rPr>
              <w:t>《中华人民共和国无线电管理条例》</w:t>
            </w:r>
            <w:r>
              <w:rPr>
                <w:rFonts w:hint="eastAsia" w:ascii="仿宋_GB2312" w:hAnsi="宋体" w:eastAsia="仿宋_GB2312" w:cs="宋体"/>
                <w:szCs w:val="21"/>
              </w:rPr>
              <w:t>第七十五条</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违反本条例规定，有下列行为之一的，由无线电管理机构责令改正；拒不改正的，没收从事违法活动的设备，并处3万元以上10万元以下的罚款；造成严重后果的，并处10万元以上30万元以下的罚款：</w:t>
            </w:r>
          </w:p>
          <w:p>
            <w:pPr>
              <w:adjustRightInd w:val="0"/>
              <w:snapToGrid w:val="0"/>
              <w:spacing w:line="360" w:lineRule="auto"/>
              <w:ind w:firstLine="420" w:firstLineChars="200"/>
              <w:jc w:val="both"/>
              <w:rPr>
                <w:rFonts w:ascii="仿宋_GB2312" w:eastAsia="仿宋_GB2312"/>
                <w:szCs w:val="21"/>
              </w:rPr>
            </w:pPr>
            <w:r>
              <w:rPr>
                <w:rFonts w:hint="eastAsia" w:ascii="仿宋_GB2312" w:hAnsi="宋体" w:eastAsia="仿宋_GB2312" w:cs="宋体"/>
                <w:szCs w:val="21"/>
              </w:rPr>
              <w:t>（二）境外组织或者个人在我国境内进行电波参数测试或者电波监测；</w:t>
            </w:r>
          </w:p>
        </w:tc>
        <w:tc>
          <w:tcPr>
            <w:tcW w:w="12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尚未造成严重后果，责令改正，拒不改正的</w:t>
            </w: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电波参数测试或者电波监测范围涉及本市1个市辖区且监测时长不足（累计）</w:t>
            </w:r>
            <w:r>
              <w:rPr>
                <w:rFonts w:ascii="仿宋_GB2312" w:hAnsi="宋体" w:eastAsia="仿宋_GB2312" w:cs="宋体"/>
                <w:szCs w:val="21"/>
              </w:rPr>
              <w:t>5</w:t>
            </w:r>
            <w:r>
              <w:rPr>
                <w:rFonts w:hint="eastAsia" w:ascii="仿宋_GB2312" w:hAnsi="宋体" w:eastAsia="仿宋_GB2312" w:cs="宋体"/>
                <w:szCs w:val="21"/>
              </w:rPr>
              <w:t>小时的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没收从事违法活动的设备，并处3万元以上6万元以下的罚款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hAnsi="宋体" w:eastAsia="仿宋_GB2312" w:cs="宋体"/>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color w:val="FF0000"/>
                <w:szCs w:val="21"/>
              </w:rPr>
            </w:pPr>
            <w:r>
              <w:rPr>
                <w:rFonts w:hint="eastAsia" w:ascii="仿宋_GB2312" w:hAnsi="宋体" w:eastAsia="仿宋_GB2312" w:cs="宋体"/>
                <w:szCs w:val="21"/>
              </w:rPr>
              <w:t>电波参数测试或者电波监测范围涉及本市</w:t>
            </w:r>
            <w:r>
              <w:rPr>
                <w:rFonts w:ascii="仿宋_GB2312" w:hAnsi="宋体" w:eastAsia="仿宋_GB2312" w:cs="宋体"/>
                <w:szCs w:val="21"/>
              </w:rPr>
              <w:t>2</w:t>
            </w:r>
            <w:r>
              <w:rPr>
                <w:rFonts w:hint="eastAsia" w:ascii="仿宋_GB2312" w:hAnsi="宋体" w:eastAsia="仿宋_GB2312" w:cs="宋体"/>
                <w:szCs w:val="21"/>
              </w:rPr>
              <w:t>个市辖区以上或者监测时长（累计）</w:t>
            </w:r>
            <w:r>
              <w:rPr>
                <w:rFonts w:ascii="仿宋_GB2312" w:hAnsi="宋体" w:eastAsia="仿宋_GB2312" w:cs="宋体"/>
                <w:szCs w:val="21"/>
              </w:rPr>
              <w:t>5</w:t>
            </w:r>
            <w:r>
              <w:rPr>
                <w:rFonts w:hint="eastAsia" w:ascii="仿宋_GB2312" w:hAnsi="宋体" w:eastAsia="仿宋_GB2312" w:cs="宋体"/>
                <w:szCs w:val="21"/>
              </w:rPr>
              <w:t>小时以上的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没收从事违法活动的设备，并处6万元以上10万元以下的罚款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hAnsi="宋体" w:eastAsia="仿宋_GB2312" w:cs="宋体"/>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造成严重后果的</w:t>
            </w: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将测试或者监测到的数据对外发布或携带出境的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没收从事违法活动的设备，并处1</w:t>
            </w:r>
            <w:r>
              <w:rPr>
                <w:rFonts w:ascii="仿宋_GB2312" w:hAnsi="宋体" w:eastAsia="仿宋_GB2312" w:cs="宋体"/>
                <w:szCs w:val="21"/>
              </w:rPr>
              <w:t>0</w:t>
            </w:r>
            <w:r>
              <w:rPr>
                <w:rFonts w:hint="eastAsia" w:ascii="仿宋_GB2312" w:hAnsi="宋体" w:eastAsia="仿宋_GB2312" w:cs="宋体"/>
                <w:szCs w:val="21"/>
              </w:rPr>
              <w:t>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hAnsi="宋体" w:eastAsia="仿宋_GB2312" w:cs="宋体"/>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利用测试或者监测到的数据，干扰、妨碍卫星轨位协调等无线电管理工作开展的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没收从事违法活动的设备，并处20万元以上30万元以下的罚款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restart"/>
            <w:vAlign w:val="center"/>
          </w:tcPr>
          <w:p>
            <w:pPr>
              <w:adjustRightInd w:val="0"/>
              <w:snapToGrid w:val="0"/>
              <w:spacing w:line="360" w:lineRule="auto"/>
              <w:jc w:val="both"/>
              <w:rPr>
                <w:rFonts w:ascii="仿宋_GB2312" w:eastAsia="仿宋_GB2312"/>
                <w:szCs w:val="21"/>
              </w:rPr>
            </w:pPr>
            <w:r>
              <w:rPr>
                <w:rFonts w:hint="eastAsia" w:ascii="仿宋_GB2312" w:eastAsia="仿宋_GB2312"/>
                <w:szCs w:val="21"/>
              </w:rPr>
              <w:t>9</w:t>
            </w:r>
          </w:p>
        </w:tc>
        <w:tc>
          <w:tcPr>
            <w:tcW w:w="1566" w:type="dxa"/>
            <w:vMerge w:val="restart"/>
            <w:vAlign w:val="center"/>
          </w:tcPr>
          <w:p>
            <w:pPr>
              <w:adjustRightInd w:val="0"/>
              <w:snapToGrid w:val="0"/>
              <w:spacing w:line="360" w:lineRule="auto"/>
              <w:jc w:val="both"/>
              <w:rPr>
                <w:rFonts w:hint="eastAsia" w:ascii="仿宋_GB2312" w:eastAsia="仿宋_GB2312"/>
                <w:szCs w:val="21"/>
                <w:lang w:eastAsia="zh-CN"/>
              </w:rPr>
            </w:pPr>
            <w:r>
              <w:rPr>
                <w:rFonts w:hint="eastAsia" w:ascii="仿宋_GB2312" w:hAnsi="宋体" w:eastAsia="仿宋_GB2312" w:cs="宋体"/>
                <w:szCs w:val="21"/>
              </w:rPr>
              <w:t>向境外组织或者个人提供涉及国家安全的境内电波参数资料</w:t>
            </w:r>
            <w:r>
              <w:rPr>
                <w:rFonts w:hint="eastAsia" w:ascii="仿宋_GB2312" w:hAnsi="宋体" w:eastAsia="仿宋_GB2312" w:cs="宋体"/>
                <w:szCs w:val="21"/>
                <w:lang w:eastAsia="zh-CN"/>
              </w:rPr>
              <w:t>的</w:t>
            </w:r>
          </w:p>
        </w:tc>
        <w:tc>
          <w:tcPr>
            <w:tcW w:w="3402"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lang w:eastAsia="zh-CN"/>
              </w:rPr>
              <w:t>《中华人民共和国无线电管理条例》</w:t>
            </w:r>
            <w:r>
              <w:rPr>
                <w:rFonts w:hint="eastAsia" w:ascii="仿宋_GB2312" w:hAnsi="宋体" w:eastAsia="仿宋_GB2312" w:cs="宋体"/>
                <w:szCs w:val="21"/>
              </w:rPr>
              <w:t>第五十五条</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任何单位或者个人不得向境外组织或者个人提供涉及国家安全的境内电波参数资料。</w:t>
            </w:r>
          </w:p>
        </w:tc>
        <w:tc>
          <w:tcPr>
            <w:tcW w:w="29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lang w:eastAsia="zh-CN"/>
              </w:rPr>
              <w:t>《中华人民共和国无线电管理条例》</w:t>
            </w:r>
            <w:r>
              <w:rPr>
                <w:rFonts w:hint="eastAsia" w:ascii="仿宋_GB2312" w:hAnsi="宋体" w:eastAsia="仿宋_GB2312" w:cs="宋体"/>
                <w:szCs w:val="21"/>
              </w:rPr>
              <w:t>第七十五条</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违反本条例规定，有下列行为之一的，由无线电管理机构责令改正；拒不改正的，没收从事违法活动的设备，并处3万元以上10万元以下的罚款；造成严重后果的，并处10万元以上30万元以下的罚款：</w:t>
            </w:r>
          </w:p>
          <w:p>
            <w:pPr>
              <w:adjustRightInd w:val="0"/>
              <w:snapToGrid w:val="0"/>
              <w:spacing w:line="360" w:lineRule="auto"/>
              <w:ind w:firstLine="420" w:firstLineChars="200"/>
              <w:jc w:val="both"/>
              <w:rPr>
                <w:rFonts w:ascii="仿宋_GB2312" w:eastAsia="仿宋_GB2312"/>
                <w:szCs w:val="21"/>
              </w:rPr>
            </w:pPr>
            <w:r>
              <w:rPr>
                <w:rFonts w:hint="eastAsia" w:ascii="仿宋_GB2312" w:hAnsi="宋体" w:eastAsia="仿宋_GB2312" w:cs="宋体"/>
                <w:szCs w:val="21"/>
              </w:rPr>
              <w:t>（三）向境外组织或者个人提供涉及国家安全的境内电波参数资料。</w:t>
            </w:r>
          </w:p>
        </w:tc>
        <w:tc>
          <w:tcPr>
            <w:tcW w:w="12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尚未造成严重后果，责令改正，拒不改正的</w:t>
            </w: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电波参数资料中的信号数不足（累计）10条的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没收从事违法活动的设备，并处3万元以上6万元以下的罚款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电波参数资料中的信号数（累计）10条以上的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没收从事违法活动的设备，并处6万元以上10万元以下的罚款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highlight w:val="none"/>
              </w:rPr>
            </w:pPr>
          </w:p>
        </w:tc>
        <w:tc>
          <w:tcPr>
            <w:tcW w:w="1566" w:type="dxa"/>
            <w:vMerge w:val="continue"/>
            <w:vAlign w:val="center"/>
          </w:tcPr>
          <w:p>
            <w:pPr>
              <w:adjustRightInd w:val="0"/>
              <w:snapToGrid w:val="0"/>
              <w:spacing w:line="360" w:lineRule="auto"/>
              <w:jc w:val="both"/>
              <w:rPr>
                <w:rFonts w:ascii="仿宋_GB2312" w:eastAsia="仿宋_GB2312"/>
                <w:szCs w:val="21"/>
                <w:highlight w:val="none"/>
              </w:rPr>
            </w:pPr>
          </w:p>
        </w:tc>
        <w:tc>
          <w:tcPr>
            <w:tcW w:w="3402" w:type="dxa"/>
            <w:vMerge w:val="continue"/>
            <w:vAlign w:val="center"/>
          </w:tcPr>
          <w:p>
            <w:pPr>
              <w:adjustRightInd w:val="0"/>
              <w:snapToGrid w:val="0"/>
              <w:spacing w:line="360" w:lineRule="auto"/>
              <w:jc w:val="both"/>
              <w:rPr>
                <w:rFonts w:ascii="仿宋_GB2312" w:eastAsia="仿宋_GB2312"/>
                <w:szCs w:val="21"/>
                <w:highlight w:val="none"/>
              </w:rPr>
            </w:pPr>
          </w:p>
        </w:tc>
        <w:tc>
          <w:tcPr>
            <w:tcW w:w="2976" w:type="dxa"/>
            <w:vMerge w:val="continue"/>
            <w:vAlign w:val="center"/>
          </w:tcPr>
          <w:p>
            <w:pPr>
              <w:adjustRightInd w:val="0"/>
              <w:snapToGrid w:val="0"/>
              <w:spacing w:line="360" w:lineRule="auto"/>
              <w:jc w:val="both"/>
              <w:rPr>
                <w:rFonts w:ascii="仿宋_GB2312" w:eastAsia="仿宋_GB2312"/>
                <w:szCs w:val="21"/>
                <w:highlight w:val="none"/>
              </w:rPr>
            </w:pPr>
          </w:p>
        </w:tc>
        <w:tc>
          <w:tcPr>
            <w:tcW w:w="1276" w:type="dxa"/>
            <w:vMerge w:val="restart"/>
            <w:vAlign w:val="center"/>
          </w:tcPr>
          <w:p>
            <w:pPr>
              <w:adjustRightInd w:val="0"/>
              <w:snapToGrid w:val="0"/>
              <w:spacing w:line="360" w:lineRule="auto"/>
              <w:jc w:val="both"/>
              <w:rPr>
                <w:rFonts w:ascii="仿宋_GB2312" w:hAnsi="宋体" w:eastAsia="仿宋_GB2312" w:cs="宋体"/>
                <w:szCs w:val="21"/>
                <w:highlight w:val="none"/>
              </w:rPr>
            </w:pPr>
            <w:r>
              <w:rPr>
                <w:rFonts w:hint="eastAsia" w:ascii="仿宋_GB2312" w:hAnsi="宋体" w:eastAsia="仿宋_GB2312" w:cs="宋体"/>
                <w:szCs w:val="21"/>
                <w:highlight w:val="none"/>
              </w:rPr>
              <w:t>造成严重后果的</w:t>
            </w:r>
          </w:p>
        </w:tc>
        <w:tc>
          <w:tcPr>
            <w:tcW w:w="2626" w:type="dxa"/>
            <w:vAlign w:val="center"/>
          </w:tcPr>
          <w:p>
            <w:pPr>
              <w:adjustRightInd w:val="0"/>
              <w:snapToGrid w:val="0"/>
              <w:spacing w:line="360" w:lineRule="auto"/>
              <w:jc w:val="both"/>
              <w:rPr>
                <w:rFonts w:ascii="仿宋_GB2312" w:eastAsia="仿宋_GB2312"/>
                <w:szCs w:val="21"/>
                <w:highlight w:val="none"/>
              </w:rPr>
            </w:pPr>
            <w:r>
              <w:rPr>
                <w:rFonts w:hint="eastAsia" w:ascii="仿宋_GB2312" w:hAnsi="宋体" w:eastAsia="仿宋_GB2312" w:cs="宋体"/>
                <w:szCs w:val="21"/>
                <w:highlight w:val="none"/>
              </w:rPr>
              <w:t>提供的电波参数资料被发布</w:t>
            </w:r>
            <w:r>
              <w:rPr>
                <w:rFonts w:hint="eastAsia" w:ascii="仿宋_GB2312" w:hAnsi="宋体" w:eastAsia="仿宋_GB2312" w:cs="宋体"/>
                <w:color w:val="000000" w:themeColor="text1"/>
                <w:szCs w:val="21"/>
                <w:highlight w:val="none"/>
                <w14:textFill>
                  <w14:solidFill>
                    <w14:schemeClr w14:val="tx1"/>
                  </w14:solidFill>
                </w14:textFill>
              </w:rPr>
              <w:t>于公众媒体，造成国</w:t>
            </w:r>
            <w:r>
              <w:rPr>
                <w:rFonts w:hint="eastAsia" w:ascii="仿宋_GB2312" w:hAnsi="宋体" w:eastAsia="仿宋_GB2312" w:cs="宋体"/>
                <w:szCs w:val="21"/>
                <w:highlight w:val="none"/>
              </w:rPr>
              <w:t>家安全隐患的</w:t>
            </w:r>
          </w:p>
        </w:tc>
        <w:tc>
          <w:tcPr>
            <w:tcW w:w="1910" w:type="dxa"/>
            <w:vAlign w:val="center"/>
          </w:tcPr>
          <w:p>
            <w:pPr>
              <w:adjustRightInd w:val="0"/>
              <w:snapToGrid w:val="0"/>
              <w:spacing w:line="360" w:lineRule="auto"/>
              <w:jc w:val="both"/>
              <w:rPr>
                <w:rFonts w:ascii="仿宋_GB2312" w:hAnsi="宋体" w:eastAsia="仿宋_GB2312" w:cs="宋体"/>
                <w:szCs w:val="21"/>
                <w:highlight w:val="none"/>
              </w:rPr>
            </w:pPr>
            <w:r>
              <w:rPr>
                <w:rFonts w:hint="eastAsia" w:ascii="仿宋_GB2312" w:hAnsi="宋体" w:eastAsia="仿宋_GB2312" w:cs="宋体"/>
                <w:szCs w:val="21"/>
                <w:highlight w:val="none"/>
              </w:rPr>
              <w:t>没收从事违法活动的设备，并处1</w:t>
            </w:r>
            <w:r>
              <w:rPr>
                <w:rFonts w:ascii="仿宋_GB2312" w:hAnsi="宋体" w:eastAsia="仿宋_GB2312" w:cs="宋体"/>
                <w:szCs w:val="21"/>
                <w:highlight w:val="none"/>
              </w:rPr>
              <w:t>0</w:t>
            </w:r>
            <w:r>
              <w:rPr>
                <w:rFonts w:hint="eastAsia" w:ascii="仿宋_GB2312" w:hAnsi="宋体" w:eastAsia="仿宋_GB2312" w:cs="宋体"/>
                <w:szCs w:val="21"/>
                <w:highlight w:val="none"/>
              </w:rPr>
              <w:t>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提供的电波参数资料被用于干扰、妨碍卫星轨位协调等无线电管理工作开展的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没收从事违法活动的设备，并处20万元以上30万元以下的罚款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restart"/>
            <w:vAlign w:val="center"/>
          </w:tcPr>
          <w:p>
            <w:pPr>
              <w:adjustRightInd w:val="0"/>
              <w:snapToGrid w:val="0"/>
              <w:spacing w:line="360" w:lineRule="auto"/>
              <w:jc w:val="both"/>
              <w:rPr>
                <w:rFonts w:ascii="仿宋_GB2312" w:eastAsia="仿宋_GB2312"/>
                <w:szCs w:val="21"/>
              </w:rPr>
            </w:pPr>
            <w:r>
              <w:rPr>
                <w:rFonts w:hint="eastAsia" w:ascii="仿宋_GB2312" w:eastAsia="仿宋_GB2312"/>
                <w:szCs w:val="21"/>
              </w:rPr>
              <w:t>10</w:t>
            </w:r>
          </w:p>
        </w:tc>
        <w:tc>
          <w:tcPr>
            <w:tcW w:w="1566" w:type="dxa"/>
            <w:vMerge w:val="restart"/>
            <w:vAlign w:val="center"/>
          </w:tcPr>
          <w:p>
            <w:pPr>
              <w:adjustRightInd w:val="0"/>
              <w:snapToGrid w:val="0"/>
              <w:spacing w:line="360" w:lineRule="auto"/>
              <w:jc w:val="both"/>
              <w:rPr>
                <w:rFonts w:ascii="仿宋_GB2312" w:eastAsia="仿宋_GB2312"/>
                <w:szCs w:val="21"/>
              </w:rPr>
            </w:pPr>
            <w:r>
              <w:rPr>
                <w:rFonts w:hint="eastAsia" w:ascii="仿宋_GB2312" w:hAnsi="宋体" w:eastAsia="仿宋_GB2312" w:cs="宋体"/>
                <w:szCs w:val="21"/>
              </w:rPr>
              <w:t>生产或者进口在国内销售、使用的无线电发射设备未进行型号核准的</w:t>
            </w:r>
          </w:p>
        </w:tc>
        <w:tc>
          <w:tcPr>
            <w:tcW w:w="3402"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lang w:eastAsia="zh-CN"/>
              </w:rPr>
              <w:t>《中华人民共和国无线电管理条例》</w:t>
            </w:r>
            <w:r>
              <w:rPr>
                <w:rFonts w:hint="eastAsia" w:ascii="仿宋_GB2312" w:hAnsi="宋体" w:eastAsia="仿宋_GB2312" w:cs="宋体"/>
                <w:szCs w:val="21"/>
              </w:rPr>
              <w:t>第四十四条</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除微功率短距离无线电发射设备外，生产或者进口在国内销售、使用的其他无线电发射设备，应当向国家无线电管理机构申请型号核准。无线电发射设备型号核准目录由国家无线电管理机构公布。</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生产或者进口应当取得型号核准的无线电发射设备，除应当符合本条例第四十三条的规定外，还应当符合无线电发射设备型号核准证核定的技术指标，并在设备上标注型号核准代码。</w:t>
            </w:r>
          </w:p>
        </w:tc>
        <w:tc>
          <w:tcPr>
            <w:tcW w:w="29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lang w:eastAsia="zh-CN"/>
              </w:rPr>
              <w:t>《中华人民共和国无线电管理条例》</w:t>
            </w:r>
            <w:r>
              <w:rPr>
                <w:rFonts w:hint="eastAsia" w:ascii="仿宋_GB2312" w:hAnsi="宋体" w:eastAsia="仿宋_GB2312" w:cs="宋体"/>
                <w:szCs w:val="21"/>
              </w:rPr>
              <w:t>第七十六条</w:t>
            </w:r>
          </w:p>
          <w:p>
            <w:pPr>
              <w:adjustRightInd w:val="0"/>
              <w:snapToGrid w:val="0"/>
              <w:spacing w:line="360" w:lineRule="auto"/>
              <w:ind w:firstLine="420" w:firstLineChars="200"/>
              <w:jc w:val="both"/>
              <w:rPr>
                <w:rFonts w:ascii="仿宋_GB2312" w:eastAsia="仿宋_GB2312"/>
                <w:szCs w:val="21"/>
              </w:rPr>
            </w:pPr>
            <w:r>
              <w:rPr>
                <w:rFonts w:hint="eastAsia" w:ascii="仿宋_GB2312" w:hAnsi="宋体" w:eastAsia="仿宋_GB2312" w:cs="宋体"/>
                <w:szCs w:val="21"/>
              </w:rPr>
              <w:t>违反本条例规定，生产或者进口在国内销售、使用的无线电发射设备未取得型号核准的，由无线电管理机构责令改正，处5万元以上20万元以下的罚款；拒不改正的，没收未取得型号核准的无线电发射设备，并处20万元以上100万元以下的罚款。</w:t>
            </w:r>
          </w:p>
        </w:tc>
        <w:tc>
          <w:tcPr>
            <w:tcW w:w="12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责令改正，已经改正的</w:t>
            </w: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违法无线电设备货值不足</w:t>
            </w:r>
            <w:r>
              <w:rPr>
                <w:rFonts w:ascii="仿宋_GB2312" w:hAnsi="宋体" w:eastAsia="仿宋_GB2312" w:cs="宋体"/>
                <w:szCs w:val="21"/>
              </w:rPr>
              <w:t>50</w:t>
            </w:r>
            <w:r>
              <w:rPr>
                <w:rFonts w:hint="eastAsia" w:ascii="仿宋_GB2312" w:hAnsi="宋体" w:eastAsia="仿宋_GB2312" w:cs="宋体"/>
                <w:szCs w:val="21"/>
              </w:rPr>
              <w:t>万元的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处5万元以上</w:t>
            </w:r>
            <w:r>
              <w:rPr>
                <w:rFonts w:ascii="仿宋_GB2312" w:hAnsi="宋体" w:eastAsia="仿宋_GB2312" w:cs="宋体"/>
                <w:szCs w:val="21"/>
              </w:rPr>
              <w:t>8</w:t>
            </w:r>
            <w:r>
              <w:rPr>
                <w:rFonts w:hint="eastAsia" w:ascii="仿宋_GB2312" w:hAnsi="宋体" w:eastAsia="仿宋_GB2312" w:cs="宋体"/>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违法无线电设备货值在</w:t>
            </w:r>
            <w:r>
              <w:rPr>
                <w:rFonts w:ascii="仿宋_GB2312" w:hAnsi="宋体" w:eastAsia="仿宋_GB2312" w:cs="宋体"/>
                <w:szCs w:val="21"/>
              </w:rPr>
              <w:t>50</w:t>
            </w:r>
            <w:r>
              <w:rPr>
                <w:rFonts w:hint="eastAsia" w:ascii="仿宋_GB2312" w:hAnsi="宋体" w:eastAsia="仿宋_GB2312" w:cs="宋体"/>
                <w:szCs w:val="21"/>
              </w:rPr>
              <w:t>万元以上不足</w:t>
            </w:r>
            <w:r>
              <w:rPr>
                <w:rFonts w:ascii="仿宋_GB2312" w:hAnsi="宋体" w:eastAsia="仿宋_GB2312" w:cs="宋体"/>
                <w:szCs w:val="21"/>
              </w:rPr>
              <w:t>1</w:t>
            </w:r>
            <w:r>
              <w:rPr>
                <w:rFonts w:hint="eastAsia" w:ascii="仿宋_GB2312" w:hAnsi="宋体" w:eastAsia="仿宋_GB2312" w:cs="宋体"/>
                <w:szCs w:val="21"/>
              </w:rPr>
              <w:t>00万元的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处</w:t>
            </w:r>
            <w:r>
              <w:rPr>
                <w:rFonts w:ascii="仿宋_GB2312" w:hAnsi="宋体" w:eastAsia="仿宋_GB2312" w:cs="宋体"/>
                <w:szCs w:val="21"/>
              </w:rPr>
              <w:t>8</w:t>
            </w:r>
            <w:r>
              <w:rPr>
                <w:rFonts w:hint="eastAsia" w:ascii="仿宋_GB2312" w:hAnsi="宋体" w:eastAsia="仿宋_GB2312" w:cs="宋体"/>
                <w:szCs w:val="21"/>
              </w:rPr>
              <w:t>万元以上</w:t>
            </w:r>
            <w:r>
              <w:rPr>
                <w:rFonts w:ascii="仿宋_GB2312" w:hAnsi="宋体" w:eastAsia="仿宋_GB2312" w:cs="宋体"/>
                <w:szCs w:val="21"/>
              </w:rPr>
              <w:t>12</w:t>
            </w:r>
            <w:r>
              <w:rPr>
                <w:rFonts w:hint="eastAsia" w:ascii="仿宋_GB2312" w:hAnsi="宋体" w:eastAsia="仿宋_GB2312" w:cs="宋体"/>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违法无线电设备货值在</w:t>
            </w:r>
            <w:r>
              <w:rPr>
                <w:rFonts w:ascii="仿宋_GB2312" w:hAnsi="宋体" w:eastAsia="仿宋_GB2312" w:cs="宋体"/>
                <w:szCs w:val="21"/>
              </w:rPr>
              <w:t>1</w:t>
            </w:r>
            <w:r>
              <w:rPr>
                <w:rFonts w:hint="eastAsia" w:ascii="仿宋_GB2312" w:hAnsi="宋体" w:eastAsia="仿宋_GB2312" w:cs="宋体"/>
                <w:szCs w:val="21"/>
              </w:rPr>
              <w:t>00万元以上不足2</w:t>
            </w:r>
            <w:r>
              <w:rPr>
                <w:rFonts w:ascii="仿宋_GB2312" w:hAnsi="宋体" w:eastAsia="仿宋_GB2312" w:cs="宋体"/>
                <w:szCs w:val="21"/>
              </w:rPr>
              <w:t>00</w:t>
            </w:r>
            <w:r>
              <w:rPr>
                <w:rFonts w:hint="eastAsia" w:ascii="仿宋_GB2312" w:hAnsi="宋体" w:eastAsia="仿宋_GB2312" w:cs="宋体"/>
                <w:szCs w:val="21"/>
              </w:rPr>
              <w:t>万元的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处</w:t>
            </w:r>
            <w:r>
              <w:rPr>
                <w:rFonts w:ascii="仿宋_GB2312" w:hAnsi="宋体" w:eastAsia="仿宋_GB2312" w:cs="宋体"/>
                <w:szCs w:val="21"/>
              </w:rPr>
              <w:t>12</w:t>
            </w:r>
            <w:r>
              <w:rPr>
                <w:rFonts w:hint="eastAsia" w:ascii="仿宋_GB2312" w:hAnsi="宋体" w:eastAsia="仿宋_GB2312" w:cs="宋体"/>
                <w:szCs w:val="21"/>
              </w:rPr>
              <w:t>万元以上</w:t>
            </w:r>
            <w:r>
              <w:rPr>
                <w:rFonts w:ascii="仿宋_GB2312" w:hAnsi="宋体" w:eastAsia="仿宋_GB2312" w:cs="宋体"/>
                <w:szCs w:val="21"/>
              </w:rPr>
              <w:t>16</w:t>
            </w:r>
            <w:r>
              <w:rPr>
                <w:rFonts w:hint="eastAsia" w:ascii="仿宋_GB2312" w:hAnsi="宋体" w:eastAsia="仿宋_GB2312" w:cs="宋体"/>
                <w:szCs w:val="21"/>
              </w:rPr>
              <w:t>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违法无线电设备货值在200万元以上的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处</w:t>
            </w:r>
            <w:r>
              <w:rPr>
                <w:rFonts w:ascii="仿宋_GB2312" w:hAnsi="宋体" w:eastAsia="仿宋_GB2312" w:cs="宋体"/>
                <w:szCs w:val="21"/>
              </w:rPr>
              <w:t>16</w:t>
            </w:r>
            <w:r>
              <w:rPr>
                <w:rFonts w:hint="eastAsia" w:ascii="仿宋_GB2312" w:hAnsi="宋体" w:eastAsia="仿宋_GB2312" w:cs="宋体"/>
                <w:szCs w:val="21"/>
              </w:rPr>
              <w:t>万元以上20万元以下的罚款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责令改正，拒不改正的</w:t>
            </w:r>
          </w:p>
        </w:tc>
        <w:tc>
          <w:tcPr>
            <w:tcW w:w="2626" w:type="dxa"/>
            <w:vAlign w:val="center"/>
          </w:tcPr>
          <w:p>
            <w:pPr>
              <w:adjustRightInd w:val="0"/>
              <w:snapToGrid w:val="0"/>
              <w:spacing w:line="360" w:lineRule="auto"/>
              <w:jc w:val="both"/>
              <w:rPr>
                <w:rFonts w:ascii="仿宋_GB2312" w:eastAsia="仿宋_GB2312"/>
                <w:szCs w:val="21"/>
              </w:rPr>
            </w:pPr>
            <w:r>
              <w:rPr>
                <w:rFonts w:hint="eastAsia" w:ascii="仿宋_GB2312" w:hAnsi="宋体" w:eastAsia="仿宋_GB2312" w:cs="宋体"/>
                <w:szCs w:val="21"/>
              </w:rPr>
              <w:t>违法无线电设备货值不足</w:t>
            </w:r>
            <w:r>
              <w:rPr>
                <w:rFonts w:ascii="仿宋_GB2312" w:hAnsi="宋体" w:eastAsia="仿宋_GB2312" w:cs="宋体"/>
                <w:szCs w:val="21"/>
              </w:rPr>
              <w:t>50</w:t>
            </w:r>
            <w:r>
              <w:rPr>
                <w:rFonts w:hint="eastAsia" w:ascii="仿宋_GB2312" w:hAnsi="宋体" w:eastAsia="仿宋_GB2312" w:cs="宋体"/>
                <w:szCs w:val="21"/>
              </w:rPr>
              <w:t>万元的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没收未取得型号核准的无线电发射设备，并处20万元以上</w:t>
            </w:r>
            <w:r>
              <w:rPr>
                <w:rFonts w:ascii="仿宋_GB2312" w:hAnsi="宋体" w:eastAsia="仿宋_GB2312" w:cs="宋体"/>
                <w:szCs w:val="21"/>
              </w:rPr>
              <w:t>4</w:t>
            </w:r>
            <w:r>
              <w:rPr>
                <w:rFonts w:hint="eastAsia" w:ascii="仿宋_GB2312" w:hAnsi="宋体" w:eastAsia="仿宋_GB2312" w:cs="宋体"/>
                <w:szCs w:val="21"/>
              </w:rPr>
              <w:t>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违法无线电设备货值在</w:t>
            </w:r>
            <w:r>
              <w:rPr>
                <w:rFonts w:ascii="仿宋_GB2312" w:hAnsi="宋体" w:eastAsia="仿宋_GB2312" w:cs="宋体"/>
                <w:szCs w:val="21"/>
              </w:rPr>
              <w:t>50</w:t>
            </w:r>
            <w:r>
              <w:rPr>
                <w:rFonts w:hint="eastAsia" w:ascii="仿宋_GB2312" w:hAnsi="宋体" w:eastAsia="仿宋_GB2312" w:cs="宋体"/>
                <w:szCs w:val="21"/>
              </w:rPr>
              <w:t>万元以上不足</w:t>
            </w:r>
            <w:r>
              <w:rPr>
                <w:rFonts w:ascii="仿宋_GB2312" w:hAnsi="宋体" w:eastAsia="仿宋_GB2312" w:cs="宋体"/>
                <w:szCs w:val="21"/>
              </w:rPr>
              <w:t>1</w:t>
            </w:r>
            <w:r>
              <w:rPr>
                <w:rFonts w:hint="eastAsia" w:ascii="仿宋_GB2312" w:hAnsi="宋体" w:eastAsia="仿宋_GB2312" w:cs="宋体"/>
                <w:szCs w:val="21"/>
              </w:rPr>
              <w:t>00万元的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没收未取得型号核准的无线电发射设备，并处</w:t>
            </w:r>
            <w:r>
              <w:rPr>
                <w:rFonts w:ascii="仿宋_GB2312" w:hAnsi="宋体" w:eastAsia="仿宋_GB2312" w:cs="宋体"/>
                <w:szCs w:val="21"/>
              </w:rPr>
              <w:t>4</w:t>
            </w:r>
            <w:r>
              <w:rPr>
                <w:rFonts w:hint="eastAsia" w:ascii="仿宋_GB2312" w:hAnsi="宋体" w:eastAsia="仿宋_GB2312" w:cs="宋体"/>
                <w:szCs w:val="21"/>
              </w:rPr>
              <w:t>0万元以上</w:t>
            </w:r>
            <w:r>
              <w:rPr>
                <w:rFonts w:ascii="仿宋_GB2312" w:hAnsi="宋体" w:eastAsia="仿宋_GB2312" w:cs="宋体"/>
                <w:szCs w:val="21"/>
              </w:rPr>
              <w:t>6</w:t>
            </w:r>
            <w:r>
              <w:rPr>
                <w:rFonts w:hint="eastAsia" w:ascii="仿宋_GB2312" w:hAnsi="宋体" w:eastAsia="仿宋_GB2312" w:cs="宋体"/>
                <w:szCs w:val="21"/>
              </w:rPr>
              <w:t>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违法无线电设备货值在</w:t>
            </w:r>
            <w:r>
              <w:rPr>
                <w:rFonts w:ascii="仿宋_GB2312" w:hAnsi="宋体" w:eastAsia="仿宋_GB2312" w:cs="宋体"/>
                <w:szCs w:val="21"/>
              </w:rPr>
              <w:t>1</w:t>
            </w:r>
            <w:r>
              <w:rPr>
                <w:rFonts w:hint="eastAsia" w:ascii="仿宋_GB2312" w:hAnsi="宋体" w:eastAsia="仿宋_GB2312" w:cs="宋体"/>
                <w:szCs w:val="21"/>
              </w:rPr>
              <w:t>00万元以上不足2</w:t>
            </w:r>
            <w:r>
              <w:rPr>
                <w:rFonts w:ascii="仿宋_GB2312" w:hAnsi="宋体" w:eastAsia="仿宋_GB2312" w:cs="宋体"/>
                <w:szCs w:val="21"/>
              </w:rPr>
              <w:t>00</w:t>
            </w:r>
            <w:r>
              <w:rPr>
                <w:rFonts w:hint="eastAsia" w:ascii="仿宋_GB2312" w:hAnsi="宋体" w:eastAsia="仿宋_GB2312" w:cs="宋体"/>
                <w:szCs w:val="21"/>
              </w:rPr>
              <w:t>万元的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没收未取得型号核准的无线电发射设备，并处</w:t>
            </w:r>
            <w:r>
              <w:rPr>
                <w:rFonts w:ascii="仿宋_GB2312" w:hAnsi="宋体" w:eastAsia="仿宋_GB2312" w:cs="宋体"/>
                <w:szCs w:val="21"/>
              </w:rPr>
              <w:t>6</w:t>
            </w:r>
            <w:r>
              <w:rPr>
                <w:rFonts w:hint="eastAsia" w:ascii="仿宋_GB2312" w:hAnsi="宋体" w:eastAsia="仿宋_GB2312" w:cs="宋体"/>
                <w:szCs w:val="21"/>
              </w:rPr>
              <w:t>0万元以上</w:t>
            </w:r>
            <w:r>
              <w:rPr>
                <w:rFonts w:ascii="仿宋_GB2312" w:hAnsi="宋体" w:eastAsia="仿宋_GB2312" w:cs="宋体"/>
                <w:szCs w:val="21"/>
              </w:rPr>
              <w:t>8</w:t>
            </w:r>
            <w:r>
              <w:rPr>
                <w:rFonts w:hint="eastAsia" w:ascii="仿宋_GB2312" w:hAnsi="宋体" w:eastAsia="仿宋_GB2312" w:cs="宋体"/>
                <w:szCs w:val="21"/>
              </w:rPr>
              <w:t>0万元以下的罚款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违法无线电设备货值在200万元以上的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没收未取得型号核准的无线电发射设备，并处</w:t>
            </w:r>
            <w:r>
              <w:rPr>
                <w:rFonts w:ascii="仿宋_GB2312" w:hAnsi="宋体" w:eastAsia="仿宋_GB2312" w:cs="宋体"/>
                <w:szCs w:val="21"/>
              </w:rPr>
              <w:t>8</w:t>
            </w:r>
            <w:r>
              <w:rPr>
                <w:rFonts w:hint="eastAsia" w:ascii="仿宋_GB2312" w:hAnsi="宋体" w:eastAsia="仿宋_GB2312" w:cs="宋体"/>
                <w:szCs w:val="21"/>
              </w:rPr>
              <w:t>0万元以上100万元以下罚款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556" w:type="dxa"/>
            <w:vMerge w:val="restart"/>
            <w:vAlign w:val="center"/>
          </w:tcPr>
          <w:p>
            <w:pPr>
              <w:adjustRightInd w:val="0"/>
              <w:snapToGrid w:val="0"/>
              <w:spacing w:line="360" w:lineRule="auto"/>
              <w:jc w:val="both"/>
              <w:rPr>
                <w:rFonts w:ascii="仿宋_GB2312" w:eastAsia="仿宋_GB2312"/>
                <w:szCs w:val="21"/>
              </w:rPr>
            </w:pPr>
            <w:r>
              <w:rPr>
                <w:rFonts w:hint="eastAsia" w:ascii="仿宋_GB2312" w:eastAsia="仿宋_GB2312"/>
                <w:szCs w:val="21"/>
              </w:rPr>
              <w:t>11</w:t>
            </w:r>
          </w:p>
        </w:tc>
        <w:tc>
          <w:tcPr>
            <w:tcW w:w="1566" w:type="dxa"/>
            <w:vMerge w:val="restart"/>
            <w:vAlign w:val="center"/>
          </w:tcPr>
          <w:p>
            <w:pPr>
              <w:adjustRightInd w:val="0"/>
              <w:snapToGrid w:val="0"/>
              <w:spacing w:line="360" w:lineRule="auto"/>
              <w:jc w:val="both"/>
              <w:rPr>
                <w:rFonts w:ascii="仿宋_GB2312" w:eastAsia="仿宋_GB2312"/>
                <w:szCs w:val="21"/>
              </w:rPr>
            </w:pPr>
            <w:r>
              <w:rPr>
                <w:rFonts w:hint="eastAsia" w:ascii="仿宋_GB2312" w:hAnsi="宋体" w:eastAsia="仿宋_GB2312" w:cs="宋体"/>
                <w:szCs w:val="21"/>
              </w:rPr>
              <w:t>销售应当取得型号核准的无线电发射设备未向无线电管理机构办理销售备案的</w:t>
            </w:r>
          </w:p>
        </w:tc>
        <w:tc>
          <w:tcPr>
            <w:tcW w:w="3402"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lang w:eastAsia="zh-CN"/>
              </w:rPr>
              <w:t>《中华人民共和国无线电管理条例》</w:t>
            </w:r>
            <w:r>
              <w:rPr>
                <w:rFonts w:hint="eastAsia" w:ascii="仿宋_GB2312" w:hAnsi="宋体" w:eastAsia="仿宋_GB2312" w:cs="宋体"/>
                <w:szCs w:val="21"/>
              </w:rPr>
              <w:t>第四十八条</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销售依照本条例第四十四条的规定应当取得型号核准的无线电发射设备，应当向省、自治区、直辖市无线电管理机构办理销售备案。不得销售未依照本条例规定标注型号核准代码的无线电发射设备。</w:t>
            </w:r>
          </w:p>
        </w:tc>
        <w:tc>
          <w:tcPr>
            <w:tcW w:w="29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lang w:eastAsia="zh-CN"/>
              </w:rPr>
              <w:t>《中华人民共和国无线电管理条例》</w:t>
            </w:r>
            <w:r>
              <w:rPr>
                <w:rFonts w:hint="eastAsia" w:ascii="仿宋_GB2312" w:hAnsi="宋体" w:eastAsia="仿宋_GB2312" w:cs="宋体"/>
                <w:szCs w:val="21"/>
              </w:rPr>
              <w:t>第七十七条</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销售依照本条例第四十四条的规定应当取得型号核准的无线电发射设备未向无线电管理机构办理销售备案的，由无线电管理机构责令改正；拒不改正的，处1万元以上3万元以下的罚款。</w:t>
            </w:r>
          </w:p>
        </w:tc>
        <w:tc>
          <w:tcPr>
            <w:tcW w:w="12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责令改正，拒不改正的</w:t>
            </w: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未办理销售备案逾期时间（逾期时间自当事人开始销售无线电发射设备</w:t>
            </w:r>
            <w:r>
              <w:rPr>
                <w:rFonts w:ascii="仿宋_GB2312" w:hAnsi="宋体" w:eastAsia="仿宋_GB2312" w:cs="宋体"/>
                <w:szCs w:val="21"/>
              </w:rPr>
              <w:t>10个工作日后起算</w:t>
            </w:r>
            <w:r>
              <w:rPr>
                <w:rFonts w:hint="eastAsia" w:ascii="仿宋_GB2312" w:hAnsi="宋体" w:eastAsia="仿宋_GB2312" w:cs="宋体"/>
                <w:szCs w:val="21"/>
              </w:rPr>
              <w:t>）不足</w:t>
            </w:r>
            <w:r>
              <w:rPr>
                <w:rFonts w:ascii="仿宋_GB2312" w:hAnsi="宋体" w:eastAsia="仿宋_GB2312" w:cs="宋体"/>
                <w:szCs w:val="21"/>
              </w:rPr>
              <w:t>6个月</w:t>
            </w:r>
            <w:r>
              <w:rPr>
                <w:rFonts w:hint="eastAsia" w:ascii="仿宋_GB2312" w:hAnsi="宋体" w:eastAsia="仿宋_GB2312" w:cs="宋体"/>
                <w:szCs w:val="21"/>
              </w:rPr>
              <w:t>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hAnsi="宋体" w:eastAsia="仿宋_GB2312" w:cs="宋体"/>
                <w:szCs w:val="21"/>
              </w:rPr>
            </w:pPr>
          </w:p>
        </w:tc>
        <w:tc>
          <w:tcPr>
            <w:tcW w:w="3402" w:type="dxa"/>
            <w:vMerge w:val="continue"/>
            <w:vAlign w:val="center"/>
          </w:tcPr>
          <w:p>
            <w:pPr>
              <w:adjustRightInd w:val="0"/>
              <w:snapToGrid w:val="0"/>
              <w:spacing w:line="360" w:lineRule="auto"/>
              <w:jc w:val="both"/>
              <w:rPr>
                <w:rFonts w:ascii="仿宋_GB2312" w:hAnsi="宋体" w:eastAsia="仿宋_GB2312" w:cs="宋体"/>
                <w:szCs w:val="21"/>
              </w:rPr>
            </w:pPr>
          </w:p>
        </w:tc>
        <w:tc>
          <w:tcPr>
            <w:tcW w:w="2976" w:type="dxa"/>
            <w:vMerge w:val="continue"/>
            <w:vAlign w:val="center"/>
          </w:tcPr>
          <w:p>
            <w:pPr>
              <w:adjustRightInd w:val="0"/>
              <w:snapToGrid w:val="0"/>
              <w:spacing w:line="360" w:lineRule="auto"/>
              <w:jc w:val="both"/>
              <w:rPr>
                <w:rFonts w:ascii="仿宋_GB2312" w:hAnsi="宋体" w:eastAsia="仿宋_GB2312" w:cs="宋体"/>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未办理销售备案逾期时间（逾期时间自当事人开始销售无线电发射设备</w:t>
            </w:r>
            <w:r>
              <w:rPr>
                <w:rFonts w:ascii="仿宋_GB2312" w:hAnsi="宋体" w:eastAsia="仿宋_GB2312" w:cs="宋体"/>
                <w:szCs w:val="21"/>
              </w:rPr>
              <w:t>10个工作日后起算</w:t>
            </w:r>
            <w:r>
              <w:rPr>
                <w:rFonts w:hint="eastAsia" w:ascii="仿宋_GB2312" w:hAnsi="宋体" w:eastAsia="仿宋_GB2312" w:cs="宋体"/>
                <w:szCs w:val="21"/>
              </w:rPr>
              <w:t>）6个月以上的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处2万元以上3万元以下的罚款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restart"/>
            <w:vAlign w:val="center"/>
          </w:tcPr>
          <w:p>
            <w:pPr>
              <w:adjustRightInd w:val="0"/>
              <w:snapToGrid w:val="0"/>
              <w:spacing w:line="360" w:lineRule="auto"/>
              <w:jc w:val="both"/>
              <w:rPr>
                <w:rFonts w:ascii="仿宋_GB2312" w:eastAsia="仿宋_GB2312"/>
                <w:color w:val="000000" w:themeColor="text1"/>
                <w:szCs w:val="21"/>
                <w14:textFill>
                  <w14:solidFill>
                    <w14:schemeClr w14:val="tx1"/>
                  </w14:solidFill>
                </w14:textFill>
              </w:rPr>
            </w:pPr>
            <w:r>
              <w:rPr>
                <w:rFonts w:hint="eastAsia" w:ascii="仿宋_GB2312" w:eastAsia="仿宋_GB2312"/>
                <w:color w:val="000000" w:themeColor="text1"/>
                <w:szCs w:val="21"/>
                <w14:textFill>
                  <w14:solidFill>
                    <w14:schemeClr w14:val="tx1"/>
                  </w14:solidFill>
                </w14:textFill>
              </w:rPr>
              <w:t>12</w:t>
            </w:r>
          </w:p>
        </w:tc>
        <w:tc>
          <w:tcPr>
            <w:tcW w:w="156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销售应当取得型号核准而未取得型号核准的无线电发射设备的</w:t>
            </w:r>
          </w:p>
        </w:tc>
        <w:tc>
          <w:tcPr>
            <w:tcW w:w="3402"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lang w:eastAsia="zh-CN"/>
              </w:rPr>
              <w:t>《中华人民共和国无线电管理条例》</w:t>
            </w:r>
            <w:r>
              <w:rPr>
                <w:rFonts w:hint="eastAsia" w:ascii="仿宋_GB2312" w:hAnsi="宋体" w:eastAsia="仿宋_GB2312" w:cs="宋体"/>
                <w:szCs w:val="21"/>
              </w:rPr>
              <w:t>第四十四条</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除微功率短距离无线电发射设备外，生产或者进口在国内销售、使用的其他无线电发射设备，应当向国家无线电管理机构申请型号核准。无线电发射设备型号核准目录由国家无线电管理机构公布。</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生产或者进口应当取得型号核准的无线电发射设备，除应当符合本条例第四十三条的规定外，还应当符合无线电发射设备型号核准证核定的技术指标，并在设备上标注型号核准代码。</w:t>
            </w:r>
          </w:p>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第四十八条</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销售依照本条例第四十四条的规定应当取得型号核准的无线电发射设备，应当向省、自治区、直辖市无线电管理机构办理销售备案。不得销售未依照本条例规定标注型号核准代码的无线电发射设备。</w:t>
            </w:r>
          </w:p>
        </w:tc>
        <w:tc>
          <w:tcPr>
            <w:tcW w:w="29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lang w:eastAsia="zh-CN"/>
              </w:rPr>
              <w:t>《中华人民共和国无线电管理条例》</w:t>
            </w:r>
            <w:r>
              <w:rPr>
                <w:rFonts w:hint="eastAsia" w:ascii="仿宋_GB2312" w:hAnsi="宋体" w:eastAsia="仿宋_GB2312" w:cs="宋体"/>
                <w:szCs w:val="21"/>
              </w:rPr>
              <w:t>第七十八条</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销售依照本条例第四十四条的规定应当取得型号核准而未取得型号核准的无线电发射设备的，由无线电管理机构责令改正，没收违法销售的无线电发射设备和违法所得，</w:t>
            </w:r>
            <w:r>
              <w:rPr>
                <w:rFonts w:hint="eastAsia" w:ascii="仿宋_GB2312" w:hAnsi="宋体" w:eastAsia="仿宋_GB2312" w:cs="宋体"/>
                <w:color w:val="000000" w:themeColor="text1"/>
                <w:szCs w:val="21"/>
                <w14:textFill>
                  <w14:solidFill>
                    <w14:schemeClr w14:val="tx1"/>
                  </w14:solidFill>
                </w14:textFill>
              </w:rPr>
              <w:t>可以并处</w:t>
            </w:r>
            <w:r>
              <w:rPr>
                <w:rFonts w:hint="eastAsia" w:ascii="仿宋_GB2312" w:hAnsi="宋体" w:eastAsia="仿宋_GB2312" w:cs="宋体"/>
                <w:szCs w:val="21"/>
              </w:rPr>
              <w:t>违法销售的设备货值10%以下的罚款；拒不改正的，并处违法销售的设备货值10%以上30%以下的罚款。</w:t>
            </w:r>
          </w:p>
        </w:tc>
        <w:tc>
          <w:tcPr>
            <w:tcW w:w="12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责令改正，已经改正的</w:t>
            </w: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违法无线电设备货值不足</w:t>
            </w:r>
            <w:r>
              <w:rPr>
                <w:rFonts w:ascii="仿宋_GB2312" w:hAnsi="宋体" w:eastAsia="仿宋_GB2312" w:cs="宋体"/>
                <w:szCs w:val="21"/>
              </w:rPr>
              <w:t>50</w:t>
            </w:r>
            <w:r>
              <w:rPr>
                <w:rFonts w:hint="eastAsia" w:ascii="仿宋_GB2312" w:hAnsi="宋体" w:eastAsia="仿宋_GB2312" w:cs="宋体"/>
                <w:szCs w:val="21"/>
              </w:rPr>
              <w:t>万元的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没收违法销售的无线电发射设备和违法所得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color w:val="FF0000"/>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ind w:firstLine="420" w:firstLineChars="200"/>
              <w:jc w:val="both"/>
              <w:rPr>
                <w:rFonts w:ascii="仿宋_GB2312" w:hAnsi="宋体" w:eastAsia="仿宋_GB2312" w:cs="宋体"/>
                <w:szCs w:val="21"/>
              </w:rPr>
            </w:pPr>
          </w:p>
        </w:tc>
        <w:tc>
          <w:tcPr>
            <w:tcW w:w="2976" w:type="dxa"/>
            <w:vMerge w:val="continue"/>
            <w:vAlign w:val="center"/>
          </w:tcPr>
          <w:p>
            <w:pPr>
              <w:adjustRightInd w:val="0"/>
              <w:snapToGrid w:val="0"/>
              <w:spacing w:line="360" w:lineRule="auto"/>
              <w:ind w:firstLine="420" w:firstLineChars="200"/>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违法无线电设备货值在50万元以上不足1</w:t>
            </w:r>
            <w:r>
              <w:rPr>
                <w:rFonts w:ascii="仿宋_GB2312" w:hAnsi="宋体" w:eastAsia="仿宋_GB2312" w:cs="宋体"/>
                <w:szCs w:val="21"/>
              </w:rPr>
              <w:t>00</w:t>
            </w:r>
            <w:r>
              <w:rPr>
                <w:rFonts w:hint="eastAsia" w:ascii="仿宋_GB2312" w:hAnsi="宋体" w:eastAsia="仿宋_GB2312" w:cs="宋体"/>
                <w:szCs w:val="21"/>
              </w:rPr>
              <w:t>万元的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没收违法销售的无线电发射设备和违法所得，并处违法销售的设备货值3%以下的罚款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违法无线电设备货值在</w:t>
            </w:r>
            <w:r>
              <w:rPr>
                <w:rFonts w:ascii="仿宋_GB2312" w:hAnsi="宋体" w:eastAsia="仿宋_GB2312" w:cs="宋体"/>
                <w:szCs w:val="21"/>
              </w:rPr>
              <w:t>100</w:t>
            </w:r>
            <w:r>
              <w:rPr>
                <w:rFonts w:hint="eastAsia" w:ascii="仿宋_GB2312" w:hAnsi="宋体" w:eastAsia="仿宋_GB2312" w:cs="宋体"/>
                <w:szCs w:val="21"/>
              </w:rPr>
              <w:t>万元以上不足</w:t>
            </w:r>
            <w:r>
              <w:rPr>
                <w:rFonts w:ascii="仿宋_GB2312" w:hAnsi="宋体" w:eastAsia="仿宋_GB2312" w:cs="宋体"/>
                <w:szCs w:val="21"/>
              </w:rPr>
              <w:t>2</w:t>
            </w:r>
            <w:r>
              <w:rPr>
                <w:rFonts w:hint="eastAsia" w:ascii="仿宋_GB2312" w:hAnsi="宋体" w:eastAsia="仿宋_GB2312" w:cs="宋体"/>
                <w:szCs w:val="21"/>
              </w:rPr>
              <w:t>00万元的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没收违法销售的无线电发射设备和违法所得，并处违法销售的设备货值</w:t>
            </w:r>
            <w:r>
              <w:rPr>
                <w:rFonts w:ascii="仿宋_GB2312" w:hAnsi="宋体" w:eastAsia="仿宋_GB2312" w:cs="宋体"/>
                <w:szCs w:val="21"/>
              </w:rPr>
              <w:t>3</w:t>
            </w:r>
            <w:r>
              <w:rPr>
                <w:rFonts w:hint="eastAsia" w:ascii="仿宋_GB2312" w:hAnsi="宋体" w:eastAsia="仿宋_GB2312" w:cs="宋体"/>
                <w:szCs w:val="21"/>
              </w:rPr>
              <w:t>%以上7%以下的罚款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违法无线电设备货值在</w:t>
            </w:r>
            <w:r>
              <w:rPr>
                <w:rFonts w:ascii="仿宋_GB2312" w:hAnsi="宋体" w:eastAsia="仿宋_GB2312" w:cs="宋体"/>
                <w:szCs w:val="21"/>
              </w:rPr>
              <w:t>2</w:t>
            </w:r>
            <w:r>
              <w:rPr>
                <w:rFonts w:hint="eastAsia" w:ascii="仿宋_GB2312" w:hAnsi="宋体" w:eastAsia="仿宋_GB2312" w:cs="宋体"/>
                <w:szCs w:val="21"/>
              </w:rPr>
              <w:t>00万元以上的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没收违法销售的无线电发射设备和违法所得，并处违法销售的设备货值7%以上10%以下的罚款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highlight w:val="none"/>
              </w:rPr>
            </w:pPr>
          </w:p>
        </w:tc>
        <w:tc>
          <w:tcPr>
            <w:tcW w:w="1566" w:type="dxa"/>
            <w:vMerge w:val="continue"/>
            <w:vAlign w:val="center"/>
          </w:tcPr>
          <w:p>
            <w:pPr>
              <w:adjustRightInd w:val="0"/>
              <w:snapToGrid w:val="0"/>
              <w:spacing w:line="360" w:lineRule="auto"/>
              <w:jc w:val="both"/>
              <w:rPr>
                <w:rFonts w:ascii="仿宋_GB2312" w:eastAsia="仿宋_GB2312"/>
                <w:szCs w:val="21"/>
                <w:highlight w:val="none"/>
              </w:rPr>
            </w:pPr>
          </w:p>
        </w:tc>
        <w:tc>
          <w:tcPr>
            <w:tcW w:w="3402" w:type="dxa"/>
            <w:vMerge w:val="continue"/>
            <w:vAlign w:val="center"/>
          </w:tcPr>
          <w:p>
            <w:pPr>
              <w:adjustRightInd w:val="0"/>
              <w:snapToGrid w:val="0"/>
              <w:spacing w:line="360" w:lineRule="auto"/>
              <w:jc w:val="both"/>
              <w:rPr>
                <w:rFonts w:ascii="仿宋_GB2312" w:eastAsia="仿宋_GB2312"/>
                <w:szCs w:val="21"/>
                <w:highlight w:val="none"/>
              </w:rPr>
            </w:pPr>
          </w:p>
        </w:tc>
        <w:tc>
          <w:tcPr>
            <w:tcW w:w="2976" w:type="dxa"/>
            <w:vMerge w:val="continue"/>
            <w:vAlign w:val="center"/>
          </w:tcPr>
          <w:p>
            <w:pPr>
              <w:adjustRightInd w:val="0"/>
              <w:snapToGrid w:val="0"/>
              <w:spacing w:line="360" w:lineRule="auto"/>
              <w:jc w:val="both"/>
              <w:rPr>
                <w:rFonts w:ascii="仿宋_GB2312" w:eastAsia="仿宋_GB2312"/>
                <w:szCs w:val="21"/>
                <w:highlight w:val="none"/>
              </w:rPr>
            </w:pPr>
          </w:p>
        </w:tc>
        <w:tc>
          <w:tcPr>
            <w:tcW w:w="1276" w:type="dxa"/>
            <w:vMerge w:val="restart"/>
            <w:vAlign w:val="center"/>
          </w:tcPr>
          <w:p>
            <w:pPr>
              <w:adjustRightInd w:val="0"/>
              <w:snapToGrid w:val="0"/>
              <w:spacing w:line="360" w:lineRule="auto"/>
              <w:jc w:val="both"/>
              <w:rPr>
                <w:rFonts w:ascii="仿宋_GB2312" w:hAnsi="宋体" w:eastAsia="仿宋_GB2312" w:cs="宋体"/>
                <w:szCs w:val="21"/>
                <w:highlight w:val="none"/>
              </w:rPr>
            </w:pPr>
            <w:r>
              <w:rPr>
                <w:rFonts w:hint="eastAsia" w:ascii="仿宋_GB2312" w:hAnsi="宋体" w:eastAsia="仿宋_GB2312" w:cs="宋体"/>
                <w:szCs w:val="21"/>
                <w:highlight w:val="none"/>
              </w:rPr>
              <w:t>责令改正，拒不改正的</w:t>
            </w:r>
          </w:p>
        </w:tc>
        <w:tc>
          <w:tcPr>
            <w:tcW w:w="2626" w:type="dxa"/>
            <w:vAlign w:val="center"/>
          </w:tcPr>
          <w:p>
            <w:pPr>
              <w:adjustRightInd w:val="0"/>
              <w:snapToGrid w:val="0"/>
              <w:spacing w:line="360" w:lineRule="auto"/>
              <w:jc w:val="both"/>
              <w:rPr>
                <w:rFonts w:ascii="仿宋_GB2312" w:eastAsia="仿宋_GB2312"/>
                <w:szCs w:val="21"/>
                <w:highlight w:val="none"/>
              </w:rPr>
            </w:pPr>
            <w:r>
              <w:rPr>
                <w:rFonts w:hint="eastAsia" w:ascii="仿宋_GB2312" w:hAnsi="宋体" w:eastAsia="仿宋_GB2312" w:cs="宋体"/>
                <w:szCs w:val="21"/>
                <w:highlight w:val="none"/>
              </w:rPr>
              <w:t>违法无线电设备货值不足50万元的</w:t>
            </w:r>
          </w:p>
        </w:tc>
        <w:tc>
          <w:tcPr>
            <w:tcW w:w="1910" w:type="dxa"/>
            <w:vAlign w:val="center"/>
          </w:tcPr>
          <w:p>
            <w:pPr>
              <w:adjustRightInd w:val="0"/>
              <w:snapToGrid w:val="0"/>
              <w:spacing w:line="360" w:lineRule="auto"/>
              <w:jc w:val="both"/>
              <w:rPr>
                <w:rFonts w:ascii="仿宋_GB2312" w:hAnsi="宋体" w:eastAsia="仿宋_GB2312" w:cs="宋体"/>
                <w:szCs w:val="21"/>
                <w:highlight w:val="none"/>
              </w:rPr>
            </w:pPr>
            <w:r>
              <w:rPr>
                <w:rFonts w:hint="eastAsia" w:ascii="仿宋_GB2312" w:hAnsi="宋体" w:eastAsia="仿宋_GB2312" w:cs="宋体"/>
                <w:szCs w:val="21"/>
                <w:highlight w:val="none"/>
              </w:rPr>
              <w:t>没收违法销售的无线电发射设备和违法所得，并处违法销售的设备货值10%以上</w:t>
            </w:r>
            <w:r>
              <w:rPr>
                <w:rFonts w:ascii="仿宋_GB2312" w:hAnsi="宋体" w:eastAsia="仿宋_GB2312" w:cs="宋体"/>
                <w:szCs w:val="21"/>
                <w:highlight w:val="none"/>
              </w:rPr>
              <w:t>15</w:t>
            </w:r>
            <w:r>
              <w:rPr>
                <w:rFonts w:hint="eastAsia" w:ascii="仿宋_GB2312" w:hAnsi="宋体" w:eastAsia="仿宋_GB2312" w:cs="宋体"/>
                <w:szCs w:val="21"/>
                <w:highlight w:val="none"/>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highlight w:val="none"/>
              </w:rPr>
            </w:pPr>
          </w:p>
        </w:tc>
        <w:tc>
          <w:tcPr>
            <w:tcW w:w="1566" w:type="dxa"/>
            <w:vMerge w:val="continue"/>
            <w:vAlign w:val="center"/>
          </w:tcPr>
          <w:p>
            <w:pPr>
              <w:adjustRightInd w:val="0"/>
              <w:snapToGrid w:val="0"/>
              <w:spacing w:line="360" w:lineRule="auto"/>
              <w:jc w:val="both"/>
              <w:rPr>
                <w:rFonts w:ascii="仿宋_GB2312" w:eastAsia="仿宋_GB2312"/>
                <w:szCs w:val="21"/>
                <w:highlight w:val="none"/>
              </w:rPr>
            </w:pPr>
          </w:p>
        </w:tc>
        <w:tc>
          <w:tcPr>
            <w:tcW w:w="3402" w:type="dxa"/>
            <w:vMerge w:val="continue"/>
            <w:vAlign w:val="center"/>
          </w:tcPr>
          <w:p>
            <w:pPr>
              <w:adjustRightInd w:val="0"/>
              <w:snapToGrid w:val="0"/>
              <w:spacing w:line="360" w:lineRule="auto"/>
              <w:jc w:val="both"/>
              <w:rPr>
                <w:rFonts w:ascii="仿宋_GB2312" w:eastAsia="仿宋_GB2312"/>
                <w:szCs w:val="21"/>
                <w:highlight w:val="none"/>
              </w:rPr>
            </w:pPr>
          </w:p>
        </w:tc>
        <w:tc>
          <w:tcPr>
            <w:tcW w:w="2976" w:type="dxa"/>
            <w:vMerge w:val="continue"/>
            <w:vAlign w:val="center"/>
          </w:tcPr>
          <w:p>
            <w:pPr>
              <w:adjustRightInd w:val="0"/>
              <w:snapToGrid w:val="0"/>
              <w:spacing w:line="360" w:lineRule="auto"/>
              <w:jc w:val="both"/>
              <w:rPr>
                <w:rFonts w:ascii="仿宋_GB2312" w:eastAsia="仿宋_GB2312"/>
                <w:szCs w:val="21"/>
                <w:highlight w:val="none"/>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highlight w:val="none"/>
              </w:rPr>
            </w:pPr>
          </w:p>
        </w:tc>
        <w:tc>
          <w:tcPr>
            <w:tcW w:w="2626" w:type="dxa"/>
            <w:vAlign w:val="center"/>
          </w:tcPr>
          <w:p>
            <w:pPr>
              <w:adjustRightInd w:val="0"/>
              <w:snapToGrid w:val="0"/>
              <w:spacing w:line="360" w:lineRule="auto"/>
              <w:jc w:val="both"/>
              <w:rPr>
                <w:rFonts w:ascii="仿宋_GB2312" w:hAnsi="宋体" w:eastAsia="仿宋_GB2312" w:cs="宋体"/>
                <w:szCs w:val="21"/>
                <w:highlight w:val="none"/>
              </w:rPr>
            </w:pPr>
            <w:r>
              <w:rPr>
                <w:rFonts w:hint="eastAsia" w:ascii="仿宋_GB2312" w:hAnsi="宋体" w:eastAsia="仿宋_GB2312" w:cs="宋体"/>
                <w:szCs w:val="21"/>
                <w:highlight w:val="none"/>
              </w:rPr>
              <w:t>违法无线电设备货值在50万元以上不足100万元的</w:t>
            </w:r>
          </w:p>
        </w:tc>
        <w:tc>
          <w:tcPr>
            <w:tcW w:w="1910" w:type="dxa"/>
            <w:vAlign w:val="center"/>
          </w:tcPr>
          <w:p>
            <w:pPr>
              <w:adjustRightInd w:val="0"/>
              <w:snapToGrid w:val="0"/>
              <w:spacing w:line="360" w:lineRule="auto"/>
              <w:jc w:val="both"/>
              <w:rPr>
                <w:rFonts w:ascii="仿宋_GB2312" w:hAnsi="宋体" w:eastAsia="仿宋_GB2312" w:cs="宋体"/>
                <w:szCs w:val="21"/>
                <w:highlight w:val="none"/>
              </w:rPr>
            </w:pPr>
            <w:r>
              <w:rPr>
                <w:rFonts w:hint="eastAsia" w:ascii="仿宋_GB2312" w:hAnsi="宋体" w:eastAsia="仿宋_GB2312" w:cs="宋体"/>
                <w:szCs w:val="21"/>
                <w:highlight w:val="none"/>
              </w:rPr>
              <w:t>没收违法销售的无线电发射设备和违法所得，并处违法销售的设备货值</w:t>
            </w:r>
            <w:r>
              <w:rPr>
                <w:rFonts w:ascii="仿宋_GB2312" w:hAnsi="宋体" w:eastAsia="仿宋_GB2312" w:cs="宋体"/>
                <w:szCs w:val="21"/>
                <w:highlight w:val="none"/>
              </w:rPr>
              <w:t>15</w:t>
            </w:r>
            <w:r>
              <w:rPr>
                <w:rFonts w:hint="eastAsia" w:ascii="仿宋_GB2312" w:hAnsi="宋体" w:eastAsia="仿宋_GB2312" w:cs="宋体"/>
                <w:szCs w:val="21"/>
                <w:highlight w:val="none"/>
              </w:rPr>
              <w:t>%以上</w:t>
            </w:r>
            <w:r>
              <w:rPr>
                <w:rFonts w:ascii="仿宋_GB2312" w:hAnsi="宋体" w:eastAsia="仿宋_GB2312" w:cs="宋体"/>
                <w:szCs w:val="21"/>
                <w:highlight w:val="none"/>
              </w:rPr>
              <w:t>2</w:t>
            </w:r>
            <w:r>
              <w:rPr>
                <w:rFonts w:hint="eastAsia" w:ascii="仿宋_GB2312" w:hAnsi="宋体" w:eastAsia="仿宋_GB2312" w:cs="宋体"/>
                <w:szCs w:val="21"/>
                <w:highlight w:val="none"/>
              </w:rPr>
              <w:t>0%以下的罚款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highlight w:val="none"/>
              </w:rPr>
            </w:pPr>
          </w:p>
        </w:tc>
        <w:tc>
          <w:tcPr>
            <w:tcW w:w="1566" w:type="dxa"/>
            <w:vMerge w:val="continue"/>
            <w:vAlign w:val="center"/>
          </w:tcPr>
          <w:p>
            <w:pPr>
              <w:adjustRightInd w:val="0"/>
              <w:snapToGrid w:val="0"/>
              <w:spacing w:line="360" w:lineRule="auto"/>
              <w:jc w:val="both"/>
              <w:rPr>
                <w:rFonts w:ascii="仿宋_GB2312" w:eastAsia="仿宋_GB2312"/>
                <w:szCs w:val="21"/>
                <w:highlight w:val="none"/>
              </w:rPr>
            </w:pPr>
          </w:p>
        </w:tc>
        <w:tc>
          <w:tcPr>
            <w:tcW w:w="3402" w:type="dxa"/>
            <w:vMerge w:val="continue"/>
            <w:vAlign w:val="center"/>
          </w:tcPr>
          <w:p>
            <w:pPr>
              <w:adjustRightInd w:val="0"/>
              <w:snapToGrid w:val="0"/>
              <w:spacing w:line="360" w:lineRule="auto"/>
              <w:jc w:val="both"/>
              <w:rPr>
                <w:rFonts w:ascii="仿宋_GB2312" w:eastAsia="仿宋_GB2312"/>
                <w:szCs w:val="21"/>
                <w:highlight w:val="none"/>
              </w:rPr>
            </w:pPr>
          </w:p>
        </w:tc>
        <w:tc>
          <w:tcPr>
            <w:tcW w:w="2976" w:type="dxa"/>
            <w:vMerge w:val="continue"/>
            <w:vAlign w:val="center"/>
          </w:tcPr>
          <w:p>
            <w:pPr>
              <w:adjustRightInd w:val="0"/>
              <w:snapToGrid w:val="0"/>
              <w:spacing w:line="360" w:lineRule="auto"/>
              <w:jc w:val="both"/>
              <w:rPr>
                <w:rFonts w:ascii="仿宋_GB2312" w:eastAsia="仿宋_GB2312"/>
                <w:szCs w:val="21"/>
                <w:highlight w:val="none"/>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highlight w:val="none"/>
              </w:rPr>
            </w:pPr>
          </w:p>
        </w:tc>
        <w:tc>
          <w:tcPr>
            <w:tcW w:w="2626" w:type="dxa"/>
            <w:vAlign w:val="center"/>
          </w:tcPr>
          <w:p>
            <w:pPr>
              <w:adjustRightInd w:val="0"/>
              <w:snapToGrid w:val="0"/>
              <w:spacing w:line="360" w:lineRule="auto"/>
              <w:jc w:val="both"/>
              <w:rPr>
                <w:rFonts w:ascii="仿宋_GB2312" w:hAnsi="宋体" w:eastAsia="仿宋_GB2312" w:cs="宋体"/>
                <w:szCs w:val="21"/>
                <w:highlight w:val="none"/>
              </w:rPr>
            </w:pPr>
            <w:r>
              <w:rPr>
                <w:rFonts w:hint="eastAsia" w:ascii="仿宋_GB2312" w:hAnsi="宋体" w:eastAsia="仿宋_GB2312" w:cs="宋体"/>
                <w:szCs w:val="21"/>
                <w:highlight w:val="none"/>
              </w:rPr>
              <w:t>违法无线电设备货值在100万元以上不足2</w:t>
            </w:r>
            <w:r>
              <w:rPr>
                <w:rFonts w:ascii="仿宋_GB2312" w:hAnsi="宋体" w:eastAsia="仿宋_GB2312" w:cs="宋体"/>
                <w:szCs w:val="21"/>
                <w:highlight w:val="none"/>
              </w:rPr>
              <w:t>00</w:t>
            </w:r>
            <w:r>
              <w:rPr>
                <w:rFonts w:hint="eastAsia" w:ascii="仿宋_GB2312" w:hAnsi="宋体" w:eastAsia="仿宋_GB2312" w:cs="宋体"/>
                <w:szCs w:val="21"/>
                <w:highlight w:val="none"/>
              </w:rPr>
              <w:t>万元的</w:t>
            </w:r>
          </w:p>
        </w:tc>
        <w:tc>
          <w:tcPr>
            <w:tcW w:w="1910" w:type="dxa"/>
            <w:vAlign w:val="center"/>
          </w:tcPr>
          <w:p>
            <w:pPr>
              <w:adjustRightInd w:val="0"/>
              <w:snapToGrid w:val="0"/>
              <w:spacing w:line="360" w:lineRule="auto"/>
              <w:jc w:val="both"/>
              <w:rPr>
                <w:rFonts w:ascii="仿宋_GB2312" w:hAnsi="宋体" w:eastAsia="仿宋_GB2312" w:cs="宋体"/>
                <w:szCs w:val="21"/>
                <w:highlight w:val="none"/>
              </w:rPr>
            </w:pPr>
            <w:r>
              <w:rPr>
                <w:rFonts w:hint="eastAsia" w:ascii="仿宋_GB2312" w:hAnsi="宋体" w:eastAsia="仿宋_GB2312" w:cs="宋体"/>
                <w:szCs w:val="21"/>
                <w:highlight w:val="none"/>
              </w:rPr>
              <w:t>没收违法销售的无线电发射设备和违法所得，并处违法销售的设备货值</w:t>
            </w:r>
            <w:r>
              <w:rPr>
                <w:rFonts w:ascii="仿宋_GB2312" w:hAnsi="宋体" w:eastAsia="仿宋_GB2312" w:cs="宋体"/>
                <w:szCs w:val="21"/>
                <w:highlight w:val="none"/>
              </w:rPr>
              <w:t>20</w:t>
            </w:r>
            <w:r>
              <w:rPr>
                <w:rFonts w:hint="eastAsia" w:ascii="仿宋_GB2312" w:hAnsi="宋体" w:eastAsia="仿宋_GB2312" w:cs="宋体"/>
                <w:szCs w:val="21"/>
                <w:highlight w:val="none"/>
              </w:rPr>
              <w:t>%以上</w:t>
            </w:r>
            <w:r>
              <w:rPr>
                <w:rFonts w:ascii="仿宋_GB2312" w:hAnsi="宋体" w:eastAsia="仿宋_GB2312" w:cs="宋体"/>
                <w:szCs w:val="21"/>
                <w:highlight w:val="none"/>
              </w:rPr>
              <w:t>25</w:t>
            </w:r>
            <w:r>
              <w:rPr>
                <w:rFonts w:hint="eastAsia" w:ascii="仿宋_GB2312" w:hAnsi="宋体" w:eastAsia="仿宋_GB2312" w:cs="宋体"/>
                <w:szCs w:val="21"/>
                <w:highlight w:val="none"/>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highlight w:val="none"/>
              </w:rPr>
            </w:pPr>
          </w:p>
        </w:tc>
        <w:tc>
          <w:tcPr>
            <w:tcW w:w="1566" w:type="dxa"/>
            <w:vMerge w:val="continue"/>
            <w:vAlign w:val="center"/>
          </w:tcPr>
          <w:p>
            <w:pPr>
              <w:adjustRightInd w:val="0"/>
              <w:snapToGrid w:val="0"/>
              <w:spacing w:line="360" w:lineRule="auto"/>
              <w:jc w:val="both"/>
              <w:rPr>
                <w:rFonts w:ascii="仿宋_GB2312" w:eastAsia="仿宋_GB2312"/>
                <w:szCs w:val="21"/>
                <w:highlight w:val="none"/>
              </w:rPr>
            </w:pPr>
          </w:p>
        </w:tc>
        <w:tc>
          <w:tcPr>
            <w:tcW w:w="3402" w:type="dxa"/>
            <w:vMerge w:val="continue"/>
            <w:vAlign w:val="center"/>
          </w:tcPr>
          <w:p>
            <w:pPr>
              <w:adjustRightInd w:val="0"/>
              <w:snapToGrid w:val="0"/>
              <w:spacing w:line="360" w:lineRule="auto"/>
              <w:jc w:val="both"/>
              <w:rPr>
                <w:rFonts w:ascii="仿宋_GB2312" w:eastAsia="仿宋_GB2312"/>
                <w:szCs w:val="21"/>
                <w:highlight w:val="none"/>
              </w:rPr>
            </w:pPr>
          </w:p>
        </w:tc>
        <w:tc>
          <w:tcPr>
            <w:tcW w:w="2976" w:type="dxa"/>
            <w:vMerge w:val="continue"/>
            <w:vAlign w:val="center"/>
          </w:tcPr>
          <w:p>
            <w:pPr>
              <w:adjustRightInd w:val="0"/>
              <w:snapToGrid w:val="0"/>
              <w:spacing w:line="360" w:lineRule="auto"/>
              <w:jc w:val="both"/>
              <w:rPr>
                <w:rFonts w:ascii="仿宋_GB2312" w:eastAsia="仿宋_GB2312"/>
                <w:szCs w:val="21"/>
                <w:highlight w:val="none"/>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highlight w:val="none"/>
              </w:rPr>
            </w:pPr>
          </w:p>
        </w:tc>
        <w:tc>
          <w:tcPr>
            <w:tcW w:w="2626" w:type="dxa"/>
            <w:vAlign w:val="center"/>
          </w:tcPr>
          <w:p>
            <w:pPr>
              <w:adjustRightInd w:val="0"/>
              <w:snapToGrid w:val="0"/>
              <w:spacing w:line="360" w:lineRule="auto"/>
              <w:jc w:val="both"/>
              <w:rPr>
                <w:rFonts w:ascii="仿宋_GB2312" w:hAnsi="宋体" w:eastAsia="仿宋_GB2312" w:cs="宋体"/>
                <w:szCs w:val="21"/>
                <w:highlight w:val="none"/>
              </w:rPr>
            </w:pPr>
            <w:r>
              <w:rPr>
                <w:rFonts w:hint="eastAsia" w:ascii="仿宋_GB2312" w:hAnsi="宋体" w:eastAsia="仿宋_GB2312" w:cs="宋体"/>
                <w:szCs w:val="21"/>
                <w:highlight w:val="none"/>
              </w:rPr>
              <w:t>违法无线电设备货值在</w:t>
            </w:r>
            <w:r>
              <w:rPr>
                <w:rFonts w:ascii="仿宋_GB2312" w:hAnsi="宋体" w:eastAsia="仿宋_GB2312" w:cs="宋体"/>
                <w:szCs w:val="21"/>
                <w:highlight w:val="none"/>
              </w:rPr>
              <w:t>2</w:t>
            </w:r>
            <w:r>
              <w:rPr>
                <w:rFonts w:hint="eastAsia" w:ascii="仿宋_GB2312" w:hAnsi="宋体" w:eastAsia="仿宋_GB2312" w:cs="宋体"/>
                <w:szCs w:val="21"/>
                <w:highlight w:val="none"/>
              </w:rPr>
              <w:t>00万元以上的</w:t>
            </w:r>
          </w:p>
        </w:tc>
        <w:tc>
          <w:tcPr>
            <w:tcW w:w="1910" w:type="dxa"/>
            <w:vAlign w:val="center"/>
          </w:tcPr>
          <w:p>
            <w:pPr>
              <w:adjustRightInd w:val="0"/>
              <w:snapToGrid w:val="0"/>
              <w:spacing w:line="360" w:lineRule="auto"/>
              <w:jc w:val="both"/>
              <w:rPr>
                <w:rFonts w:ascii="仿宋_GB2312" w:hAnsi="宋体" w:eastAsia="仿宋_GB2312" w:cs="宋体"/>
                <w:szCs w:val="21"/>
                <w:highlight w:val="none"/>
              </w:rPr>
            </w:pPr>
            <w:r>
              <w:rPr>
                <w:rFonts w:hint="eastAsia" w:ascii="仿宋_GB2312" w:hAnsi="宋体" w:eastAsia="仿宋_GB2312" w:cs="宋体"/>
                <w:szCs w:val="21"/>
                <w:highlight w:val="none"/>
              </w:rPr>
              <w:t>没收违法销售的无线电发射设备和违法所得，并处违法销售的设备货值</w:t>
            </w:r>
            <w:r>
              <w:rPr>
                <w:rFonts w:ascii="仿宋_GB2312" w:hAnsi="宋体" w:eastAsia="仿宋_GB2312" w:cs="宋体"/>
                <w:szCs w:val="21"/>
                <w:highlight w:val="none"/>
              </w:rPr>
              <w:t>25</w:t>
            </w:r>
            <w:r>
              <w:rPr>
                <w:rFonts w:hint="eastAsia" w:ascii="仿宋_GB2312" w:hAnsi="宋体" w:eastAsia="仿宋_GB2312" w:cs="宋体"/>
                <w:szCs w:val="21"/>
                <w:highlight w:val="none"/>
              </w:rPr>
              <w:t>%以上</w:t>
            </w:r>
            <w:r>
              <w:rPr>
                <w:rFonts w:ascii="仿宋_GB2312" w:hAnsi="宋体" w:eastAsia="仿宋_GB2312" w:cs="宋体"/>
                <w:szCs w:val="21"/>
                <w:highlight w:val="none"/>
              </w:rPr>
              <w:t>30</w:t>
            </w:r>
            <w:r>
              <w:rPr>
                <w:rFonts w:hint="eastAsia" w:ascii="仿宋_GB2312" w:hAnsi="宋体" w:eastAsia="仿宋_GB2312" w:cs="宋体"/>
                <w:szCs w:val="21"/>
                <w:highlight w:val="none"/>
              </w:rPr>
              <w:t>%以下的罚款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restart"/>
            <w:vAlign w:val="center"/>
          </w:tcPr>
          <w:p>
            <w:pPr>
              <w:adjustRightInd w:val="0"/>
              <w:snapToGrid w:val="0"/>
              <w:spacing w:line="360" w:lineRule="auto"/>
              <w:jc w:val="both"/>
              <w:rPr>
                <w:rFonts w:ascii="仿宋_GB2312" w:eastAsia="仿宋_GB2312"/>
                <w:szCs w:val="21"/>
              </w:rPr>
            </w:pPr>
            <w:r>
              <w:rPr>
                <w:rFonts w:hint="eastAsia" w:ascii="仿宋_GB2312" w:eastAsia="仿宋_GB2312"/>
                <w:szCs w:val="21"/>
              </w:rPr>
              <w:t>13</w:t>
            </w:r>
          </w:p>
        </w:tc>
        <w:tc>
          <w:tcPr>
            <w:tcW w:w="1566" w:type="dxa"/>
            <w:vMerge w:val="restart"/>
            <w:vAlign w:val="center"/>
          </w:tcPr>
          <w:p>
            <w:pPr>
              <w:adjustRightInd w:val="0"/>
              <w:snapToGrid w:val="0"/>
              <w:spacing w:line="360" w:lineRule="auto"/>
              <w:jc w:val="both"/>
              <w:rPr>
                <w:rFonts w:ascii="仿宋_GB2312" w:eastAsia="仿宋_GB2312"/>
                <w:szCs w:val="21"/>
              </w:rPr>
            </w:pPr>
            <w:r>
              <w:rPr>
                <w:rFonts w:hint="eastAsia" w:ascii="仿宋_GB2312" w:hAnsi="宋体" w:eastAsia="仿宋_GB2312" w:cs="宋体"/>
                <w:szCs w:val="21"/>
              </w:rPr>
              <w:t>维修无线电发射设备改变无线电发射设备核准证核定的技术指标的</w:t>
            </w:r>
          </w:p>
        </w:tc>
        <w:tc>
          <w:tcPr>
            <w:tcW w:w="3402"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lang w:eastAsia="zh-CN"/>
              </w:rPr>
              <w:t>《中华人民共和国无线电管理条例》</w:t>
            </w:r>
            <w:r>
              <w:rPr>
                <w:rFonts w:hint="eastAsia" w:ascii="仿宋_GB2312" w:hAnsi="宋体" w:eastAsia="仿宋_GB2312" w:cs="宋体"/>
                <w:szCs w:val="21"/>
              </w:rPr>
              <w:t>第四十九条</w:t>
            </w:r>
          </w:p>
          <w:p>
            <w:pPr>
              <w:adjustRightInd w:val="0"/>
              <w:snapToGrid w:val="0"/>
              <w:spacing w:line="360" w:lineRule="auto"/>
              <w:ind w:firstLine="420" w:firstLineChars="200"/>
              <w:jc w:val="both"/>
              <w:rPr>
                <w:rFonts w:ascii="仿宋_GB2312" w:hAnsi="宋体" w:eastAsia="仿宋_GB2312" w:cs="宋体"/>
                <w:szCs w:val="21"/>
              </w:rPr>
            </w:pPr>
            <w:r>
              <w:rPr>
                <w:rFonts w:hint="eastAsia" w:ascii="仿宋_GB2312" w:hAnsi="宋体" w:eastAsia="仿宋_GB2312" w:cs="宋体"/>
                <w:szCs w:val="21"/>
              </w:rPr>
              <w:t>维修无线电发射设备，不得改变无线电发射设备型号核准证核定的技术指标。</w:t>
            </w:r>
          </w:p>
        </w:tc>
        <w:tc>
          <w:tcPr>
            <w:tcW w:w="29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lang w:eastAsia="zh-CN"/>
              </w:rPr>
              <w:t>《中华人民共和国无线电管理条例》</w:t>
            </w:r>
            <w:r>
              <w:rPr>
                <w:rFonts w:hint="eastAsia" w:ascii="仿宋_GB2312" w:hAnsi="宋体" w:eastAsia="仿宋_GB2312" w:cs="宋体"/>
                <w:szCs w:val="21"/>
              </w:rPr>
              <w:t>第七十九条</w:t>
            </w:r>
          </w:p>
          <w:p>
            <w:pPr>
              <w:adjustRightInd w:val="0"/>
              <w:snapToGrid w:val="0"/>
              <w:spacing w:line="360" w:lineRule="auto"/>
              <w:ind w:firstLine="420" w:firstLineChars="200"/>
              <w:jc w:val="both"/>
              <w:rPr>
                <w:rFonts w:ascii="仿宋_GB2312" w:eastAsia="仿宋_GB2312"/>
                <w:szCs w:val="21"/>
              </w:rPr>
            </w:pPr>
            <w:r>
              <w:rPr>
                <w:rFonts w:hint="eastAsia" w:ascii="仿宋_GB2312" w:hAnsi="宋体" w:eastAsia="仿宋_GB2312" w:cs="宋体"/>
                <w:szCs w:val="21"/>
              </w:rPr>
              <w:t>维修无线电发射设备改变无线电发射设备型号核准证核定的技术指标的，由无线电管理机构责令改正；拒不改正的，处1万元以上3万元以下的罚款。</w:t>
            </w:r>
          </w:p>
        </w:tc>
        <w:tc>
          <w:tcPr>
            <w:tcW w:w="1276" w:type="dxa"/>
            <w:vMerge w:val="restart"/>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责令改正，拒不改正的</w:t>
            </w: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改变无线电发射设备核准证核定的技术指标中的一项的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处1万元以上2万元以下的罚款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6" w:type="dxa"/>
            <w:vMerge w:val="continue"/>
            <w:vAlign w:val="center"/>
          </w:tcPr>
          <w:p>
            <w:pPr>
              <w:adjustRightInd w:val="0"/>
              <w:snapToGrid w:val="0"/>
              <w:spacing w:line="360" w:lineRule="auto"/>
              <w:jc w:val="both"/>
              <w:rPr>
                <w:rFonts w:ascii="仿宋_GB2312" w:eastAsia="仿宋_GB2312"/>
                <w:szCs w:val="21"/>
              </w:rPr>
            </w:pPr>
          </w:p>
        </w:tc>
        <w:tc>
          <w:tcPr>
            <w:tcW w:w="1566" w:type="dxa"/>
            <w:vMerge w:val="continue"/>
            <w:vAlign w:val="center"/>
          </w:tcPr>
          <w:p>
            <w:pPr>
              <w:adjustRightInd w:val="0"/>
              <w:snapToGrid w:val="0"/>
              <w:spacing w:line="360" w:lineRule="auto"/>
              <w:jc w:val="both"/>
              <w:rPr>
                <w:rFonts w:ascii="仿宋_GB2312" w:eastAsia="仿宋_GB2312"/>
                <w:szCs w:val="21"/>
              </w:rPr>
            </w:pPr>
          </w:p>
        </w:tc>
        <w:tc>
          <w:tcPr>
            <w:tcW w:w="3402" w:type="dxa"/>
            <w:vMerge w:val="continue"/>
            <w:vAlign w:val="center"/>
          </w:tcPr>
          <w:p>
            <w:pPr>
              <w:adjustRightInd w:val="0"/>
              <w:snapToGrid w:val="0"/>
              <w:spacing w:line="360" w:lineRule="auto"/>
              <w:jc w:val="both"/>
              <w:rPr>
                <w:rFonts w:ascii="仿宋_GB2312" w:eastAsia="仿宋_GB2312"/>
                <w:szCs w:val="21"/>
              </w:rPr>
            </w:pPr>
          </w:p>
        </w:tc>
        <w:tc>
          <w:tcPr>
            <w:tcW w:w="2976" w:type="dxa"/>
            <w:vMerge w:val="continue"/>
            <w:vAlign w:val="center"/>
          </w:tcPr>
          <w:p>
            <w:pPr>
              <w:adjustRightInd w:val="0"/>
              <w:snapToGrid w:val="0"/>
              <w:spacing w:line="360" w:lineRule="auto"/>
              <w:jc w:val="both"/>
              <w:rPr>
                <w:rFonts w:ascii="仿宋_GB2312" w:eastAsia="仿宋_GB2312"/>
                <w:szCs w:val="21"/>
              </w:rPr>
            </w:pPr>
          </w:p>
        </w:tc>
        <w:tc>
          <w:tcPr>
            <w:tcW w:w="1276" w:type="dxa"/>
            <w:vMerge w:val="continue"/>
            <w:vAlign w:val="center"/>
          </w:tcPr>
          <w:p>
            <w:pPr>
              <w:adjustRightInd w:val="0"/>
              <w:snapToGrid w:val="0"/>
              <w:spacing w:line="360" w:lineRule="auto"/>
              <w:jc w:val="both"/>
              <w:rPr>
                <w:rFonts w:ascii="仿宋_GB2312" w:hAnsi="宋体" w:eastAsia="仿宋_GB2312" w:cs="宋体"/>
                <w:szCs w:val="21"/>
              </w:rPr>
            </w:pPr>
          </w:p>
        </w:tc>
        <w:tc>
          <w:tcPr>
            <w:tcW w:w="2626"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改变无线电发射设备核准证核定的技术指标中两项以上的</w:t>
            </w:r>
          </w:p>
        </w:tc>
        <w:tc>
          <w:tcPr>
            <w:tcW w:w="1910" w:type="dxa"/>
            <w:vAlign w:val="center"/>
          </w:tcPr>
          <w:p>
            <w:pPr>
              <w:adjustRightInd w:val="0"/>
              <w:snapToGrid w:val="0"/>
              <w:spacing w:line="360" w:lineRule="auto"/>
              <w:jc w:val="both"/>
              <w:rPr>
                <w:rFonts w:ascii="仿宋_GB2312" w:hAnsi="宋体" w:eastAsia="仿宋_GB2312" w:cs="宋体"/>
                <w:szCs w:val="21"/>
              </w:rPr>
            </w:pPr>
            <w:r>
              <w:rPr>
                <w:rFonts w:hint="eastAsia" w:ascii="仿宋_GB2312" w:hAnsi="宋体" w:eastAsia="仿宋_GB2312" w:cs="宋体"/>
                <w:szCs w:val="21"/>
              </w:rPr>
              <w:t>处2万元以上3万元以下的罚款</w:t>
            </w:r>
          </w:p>
        </w:tc>
      </w:tr>
    </w:tbl>
    <w:p>
      <w:pPr>
        <w:snapToGrid w:val="0"/>
        <w:spacing w:line="360" w:lineRule="auto"/>
        <w:rPr>
          <w:rFonts w:ascii="仿宋_GB2312" w:hAnsi="宋体" w:eastAsia="仿宋_GB2312" w:cs="宋体"/>
          <w:spacing w:val="-10"/>
          <w:sz w:val="24"/>
          <w:szCs w:val="24"/>
        </w:rPr>
      </w:pPr>
    </w:p>
    <w:p>
      <w:pPr>
        <w:widowControl/>
        <w:jc w:val="left"/>
        <w:rPr>
          <w:rFonts w:ascii="黑体" w:hAnsi="黑体" w:eastAsia="黑体"/>
          <w:color w:val="333333"/>
          <w:sz w:val="32"/>
          <w:szCs w:val="32"/>
        </w:rPr>
      </w:pPr>
      <w:r>
        <w:rPr>
          <w:rFonts w:ascii="仿宋_GB2312" w:hAnsi="宋体" w:eastAsia="仿宋_GB2312" w:cs="宋体"/>
          <w:spacing w:val="-10"/>
          <w:sz w:val="24"/>
          <w:szCs w:val="24"/>
        </w:rPr>
        <w:br w:type="page"/>
      </w:r>
      <w:r>
        <w:rPr>
          <w:rFonts w:hint="eastAsia" w:ascii="黑体" w:hAnsi="黑体" w:eastAsia="黑体"/>
          <w:color w:val="333333"/>
          <w:sz w:val="32"/>
          <w:szCs w:val="32"/>
        </w:rPr>
        <w:t>备注：</w:t>
      </w:r>
    </w:p>
    <w:p>
      <w:pPr>
        <w:pStyle w:val="5"/>
        <w:numPr>
          <w:ilvl w:val="0"/>
          <w:numId w:val="1"/>
        </w:numPr>
        <w:adjustRightInd w:val="0"/>
        <w:snapToGrid w:val="0"/>
        <w:spacing w:before="0" w:beforeAutospacing="0" w:after="0" w:afterAutospacing="0" w:line="288" w:lineRule="auto"/>
        <w:ind w:left="440"/>
        <w:rPr>
          <w:rFonts w:ascii="微软雅黑" w:hAnsi="微软雅黑" w:eastAsia="微软雅黑"/>
          <w:color w:val="333333"/>
          <w:sz w:val="22"/>
          <w:szCs w:val="22"/>
          <w:highlight w:val="none"/>
        </w:rPr>
      </w:pPr>
      <w:r>
        <w:rPr>
          <w:rFonts w:hint="eastAsia" w:ascii="微软雅黑" w:hAnsi="微软雅黑" w:eastAsia="微软雅黑"/>
          <w:color w:val="333333"/>
          <w:sz w:val="22"/>
          <w:szCs w:val="22"/>
          <w:highlight w:val="none"/>
        </w:rPr>
        <w:t>本表中的“违法所得</w:t>
      </w:r>
      <w:r>
        <w:rPr>
          <w:rFonts w:ascii="微软雅黑" w:hAnsi="微软雅黑" w:eastAsia="微软雅黑"/>
          <w:color w:val="333333"/>
          <w:sz w:val="22"/>
          <w:szCs w:val="22"/>
          <w:highlight w:val="none"/>
        </w:rPr>
        <w:t>”</w:t>
      </w:r>
      <w:r>
        <w:rPr>
          <w:rFonts w:hint="eastAsia" w:ascii="微软雅黑" w:hAnsi="微软雅黑" w:eastAsia="微软雅黑"/>
          <w:color w:val="333333"/>
          <w:sz w:val="22"/>
          <w:szCs w:val="22"/>
          <w:highlight w:val="none"/>
        </w:rPr>
        <w:t>是指因违法行为所获得的全部收入扣除直接用于生产、经营等活动的合理支出。</w:t>
      </w:r>
    </w:p>
    <w:p>
      <w:pPr>
        <w:pStyle w:val="5"/>
        <w:numPr>
          <w:ilvl w:val="0"/>
          <w:numId w:val="1"/>
        </w:numPr>
        <w:adjustRightInd w:val="0"/>
        <w:snapToGrid w:val="0"/>
        <w:spacing w:before="0" w:beforeAutospacing="0" w:after="0" w:afterAutospacing="0" w:line="288" w:lineRule="auto"/>
        <w:ind w:left="440"/>
        <w:rPr>
          <w:rFonts w:ascii="微软雅黑" w:hAnsi="微软雅黑" w:eastAsia="微软雅黑"/>
          <w:color w:val="333333"/>
          <w:sz w:val="22"/>
          <w:szCs w:val="22"/>
          <w:highlight w:val="none"/>
        </w:rPr>
      </w:pPr>
      <w:r>
        <w:rPr>
          <w:rFonts w:hint="eastAsia" w:ascii="微软雅黑" w:hAnsi="微软雅黑" w:eastAsia="微软雅黑"/>
          <w:color w:val="333333"/>
          <w:sz w:val="22"/>
          <w:szCs w:val="22"/>
          <w:highlight w:val="none"/>
        </w:rPr>
        <w:t>本表中的“重点无线电台（站）”、“一般无线电台（站）”按照本市无线电台（站）分级管理要求确定。</w:t>
      </w:r>
    </w:p>
    <w:p>
      <w:pPr>
        <w:pStyle w:val="5"/>
        <w:adjustRightInd w:val="0"/>
        <w:snapToGrid w:val="0"/>
        <w:spacing w:before="0" w:beforeAutospacing="0" w:after="0" w:afterAutospacing="0" w:line="288" w:lineRule="auto"/>
        <w:ind w:firstLine="440" w:firstLineChars="200"/>
        <w:rPr>
          <w:rFonts w:ascii="微软雅黑" w:hAnsi="微软雅黑" w:eastAsia="微软雅黑"/>
          <w:color w:val="333333"/>
          <w:sz w:val="22"/>
          <w:szCs w:val="22"/>
          <w:highlight w:val="none"/>
        </w:rPr>
      </w:pPr>
      <w:r>
        <w:rPr>
          <w:rFonts w:hint="eastAsia" w:ascii="微软雅黑" w:hAnsi="微软雅黑" w:eastAsia="微软雅黑"/>
          <w:color w:val="333333"/>
          <w:sz w:val="22"/>
          <w:szCs w:val="22"/>
          <w:highlight w:val="none"/>
        </w:rPr>
        <w:t>三、违法行为每符合《中华人民共和国行政处罚法》任意一项从轻情形的，应当在确定的罚款基数基础上减少处罚金额的10%；但是，累计减少处罚金额不得低于法定罚款额的下限。</w:t>
      </w:r>
    </w:p>
    <w:p>
      <w:pPr>
        <w:pStyle w:val="5"/>
        <w:adjustRightInd w:val="0"/>
        <w:snapToGrid w:val="0"/>
        <w:spacing w:before="0" w:beforeAutospacing="0" w:after="0" w:afterAutospacing="0" w:line="288" w:lineRule="auto"/>
        <w:ind w:firstLine="440" w:firstLineChars="200"/>
        <w:rPr>
          <w:rFonts w:ascii="微软雅黑" w:hAnsi="微软雅黑" w:eastAsia="微软雅黑"/>
          <w:color w:val="333333"/>
          <w:sz w:val="22"/>
          <w:szCs w:val="22"/>
          <w:highlight w:val="none"/>
        </w:rPr>
      </w:pPr>
      <w:r>
        <w:rPr>
          <w:rFonts w:hint="eastAsia" w:ascii="微软雅黑" w:hAnsi="微软雅黑" w:eastAsia="微软雅黑"/>
          <w:color w:val="333333"/>
          <w:sz w:val="22"/>
          <w:szCs w:val="22"/>
          <w:highlight w:val="none"/>
        </w:rPr>
        <w:t>四、违法行为每符合《上海市人民政府关于本市建立行政处罚裁量基准制度的指导意见》（沪府发〔2013〕32号）任意一项从重情形的，应当在确定的罚款基数基础上增加处罚金额的10%；但是，累计增加处罚金额不得高于法定罚款额的上限。</w:t>
      </w:r>
    </w:p>
    <w:p>
      <w:pPr>
        <w:pStyle w:val="5"/>
        <w:adjustRightInd w:val="0"/>
        <w:snapToGrid w:val="0"/>
        <w:spacing w:before="0" w:beforeAutospacing="0" w:after="0" w:afterAutospacing="0" w:line="288" w:lineRule="auto"/>
        <w:ind w:firstLine="440" w:firstLineChars="200"/>
        <w:rPr>
          <w:rFonts w:ascii="微软雅黑" w:hAnsi="微软雅黑" w:eastAsia="微软雅黑"/>
          <w:color w:val="333333"/>
          <w:sz w:val="22"/>
          <w:szCs w:val="22"/>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173668"/>
    <w:multiLevelType w:val="singleLevel"/>
    <w:tmpl w:val="1E17366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documentProtection w:enforcement="0"/>
  <w:defaultTabStop w:val="420"/>
  <w:drawingGridHorizontalSpacing w:val="105"/>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82"/>
    <w:rsid w:val="00007A1C"/>
    <w:rsid w:val="0002124B"/>
    <w:rsid w:val="000349C5"/>
    <w:rsid w:val="00051271"/>
    <w:rsid w:val="0007207B"/>
    <w:rsid w:val="00097665"/>
    <w:rsid w:val="000A6024"/>
    <w:rsid w:val="000B6BF1"/>
    <w:rsid w:val="000D4378"/>
    <w:rsid w:val="000E1492"/>
    <w:rsid w:val="0010353E"/>
    <w:rsid w:val="00103FC0"/>
    <w:rsid w:val="00157D01"/>
    <w:rsid w:val="001713B4"/>
    <w:rsid w:val="00176F54"/>
    <w:rsid w:val="00177E0A"/>
    <w:rsid w:val="0018486F"/>
    <w:rsid w:val="001954B5"/>
    <w:rsid w:val="001A7AB4"/>
    <w:rsid w:val="001D2A0F"/>
    <w:rsid w:val="001E07C1"/>
    <w:rsid w:val="00206FC4"/>
    <w:rsid w:val="00217DFF"/>
    <w:rsid w:val="00220E77"/>
    <w:rsid w:val="00235745"/>
    <w:rsid w:val="00246631"/>
    <w:rsid w:val="002518B9"/>
    <w:rsid w:val="00252A71"/>
    <w:rsid w:val="0025380B"/>
    <w:rsid w:val="00267773"/>
    <w:rsid w:val="00291A2A"/>
    <w:rsid w:val="00297850"/>
    <w:rsid w:val="002D2FA0"/>
    <w:rsid w:val="00305A39"/>
    <w:rsid w:val="00312408"/>
    <w:rsid w:val="003315CC"/>
    <w:rsid w:val="00347C5C"/>
    <w:rsid w:val="00365C9C"/>
    <w:rsid w:val="003772B0"/>
    <w:rsid w:val="003C437E"/>
    <w:rsid w:val="003D16FE"/>
    <w:rsid w:val="003E2C74"/>
    <w:rsid w:val="00411EB7"/>
    <w:rsid w:val="0042125C"/>
    <w:rsid w:val="00431120"/>
    <w:rsid w:val="0045619C"/>
    <w:rsid w:val="00456B6D"/>
    <w:rsid w:val="00476CCC"/>
    <w:rsid w:val="004B5144"/>
    <w:rsid w:val="004D0535"/>
    <w:rsid w:val="004D2BBD"/>
    <w:rsid w:val="004E0D10"/>
    <w:rsid w:val="004E125A"/>
    <w:rsid w:val="004E6A46"/>
    <w:rsid w:val="00507C4A"/>
    <w:rsid w:val="00536D54"/>
    <w:rsid w:val="00560D82"/>
    <w:rsid w:val="00574D89"/>
    <w:rsid w:val="005860DE"/>
    <w:rsid w:val="005A0274"/>
    <w:rsid w:val="005D6CBF"/>
    <w:rsid w:val="005D7564"/>
    <w:rsid w:val="005D7A51"/>
    <w:rsid w:val="005E66F8"/>
    <w:rsid w:val="005F03CB"/>
    <w:rsid w:val="005F3C6C"/>
    <w:rsid w:val="006015DA"/>
    <w:rsid w:val="00606FBB"/>
    <w:rsid w:val="00623A6E"/>
    <w:rsid w:val="006631B6"/>
    <w:rsid w:val="00686DFD"/>
    <w:rsid w:val="00696524"/>
    <w:rsid w:val="006B7384"/>
    <w:rsid w:val="006B7A36"/>
    <w:rsid w:val="006D2D58"/>
    <w:rsid w:val="006D3EA9"/>
    <w:rsid w:val="0070413A"/>
    <w:rsid w:val="00733ECC"/>
    <w:rsid w:val="00750E9A"/>
    <w:rsid w:val="00761A30"/>
    <w:rsid w:val="007E04E6"/>
    <w:rsid w:val="007F3867"/>
    <w:rsid w:val="0080692E"/>
    <w:rsid w:val="008165AB"/>
    <w:rsid w:val="008275C4"/>
    <w:rsid w:val="00876EC2"/>
    <w:rsid w:val="0088569F"/>
    <w:rsid w:val="008B43B0"/>
    <w:rsid w:val="008D2AF0"/>
    <w:rsid w:val="008D535F"/>
    <w:rsid w:val="009004A9"/>
    <w:rsid w:val="0091715D"/>
    <w:rsid w:val="00925CCD"/>
    <w:rsid w:val="0093385F"/>
    <w:rsid w:val="00964E14"/>
    <w:rsid w:val="009A57A8"/>
    <w:rsid w:val="009D2DE0"/>
    <w:rsid w:val="00A073CF"/>
    <w:rsid w:val="00A14A48"/>
    <w:rsid w:val="00A46812"/>
    <w:rsid w:val="00A47BC2"/>
    <w:rsid w:val="00A61630"/>
    <w:rsid w:val="00A645B6"/>
    <w:rsid w:val="00A66C49"/>
    <w:rsid w:val="00A80CCA"/>
    <w:rsid w:val="00AD38FE"/>
    <w:rsid w:val="00B007FD"/>
    <w:rsid w:val="00B50F05"/>
    <w:rsid w:val="00B74734"/>
    <w:rsid w:val="00B8680A"/>
    <w:rsid w:val="00B96CF4"/>
    <w:rsid w:val="00BD2861"/>
    <w:rsid w:val="00BE6082"/>
    <w:rsid w:val="00C02DB2"/>
    <w:rsid w:val="00C13916"/>
    <w:rsid w:val="00C35E6F"/>
    <w:rsid w:val="00C36722"/>
    <w:rsid w:val="00C36A91"/>
    <w:rsid w:val="00C60D49"/>
    <w:rsid w:val="00C62390"/>
    <w:rsid w:val="00C65355"/>
    <w:rsid w:val="00C67321"/>
    <w:rsid w:val="00CA6B34"/>
    <w:rsid w:val="00CD6561"/>
    <w:rsid w:val="00CF6753"/>
    <w:rsid w:val="00D209A9"/>
    <w:rsid w:val="00D21FEF"/>
    <w:rsid w:val="00D23B93"/>
    <w:rsid w:val="00D24175"/>
    <w:rsid w:val="00D316B3"/>
    <w:rsid w:val="00D4662D"/>
    <w:rsid w:val="00D549B5"/>
    <w:rsid w:val="00D62F07"/>
    <w:rsid w:val="00DA7946"/>
    <w:rsid w:val="00DB624C"/>
    <w:rsid w:val="00DD265F"/>
    <w:rsid w:val="00DE01E7"/>
    <w:rsid w:val="00DF5015"/>
    <w:rsid w:val="00E17014"/>
    <w:rsid w:val="00E412CA"/>
    <w:rsid w:val="00E43A34"/>
    <w:rsid w:val="00E514E5"/>
    <w:rsid w:val="00E70CE6"/>
    <w:rsid w:val="00E76E63"/>
    <w:rsid w:val="00E76FDE"/>
    <w:rsid w:val="00E96A2C"/>
    <w:rsid w:val="00EA6E0D"/>
    <w:rsid w:val="00EB4BC4"/>
    <w:rsid w:val="00EC02C4"/>
    <w:rsid w:val="00EC0756"/>
    <w:rsid w:val="00ED16E7"/>
    <w:rsid w:val="00ED2C1A"/>
    <w:rsid w:val="00EF747D"/>
    <w:rsid w:val="00F0786D"/>
    <w:rsid w:val="00F16ACD"/>
    <w:rsid w:val="00F4577A"/>
    <w:rsid w:val="00F46406"/>
    <w:rsid w:val="00F67D8E"/>
    <w:rsid w:val="00F80166"/>
    <w:rsid w:val="00F917BF"/>
    <w:rsid w:val="00FE2278"/>
    <w:rsid w:val="00FE5193"/>
    <w:rsid w:val="015CF82A"/>
    <w:rsid w:val="1FBF377F"/>
    <w:rsid w:val="1FFCA27E"/>
    <w:rsid w:val="2BFEA75A"/>
    <w:rsid w:val="2FBE730D"/>
    <w:rsid w:val="2FFB6AF8"/>
    <w:rsid w:val="32DDE9C8"/>
    <w:rsid w:val="36371385"/>
    <w:rsid w:val="3FDC4088"/>
    <w:rsid w:val="4BEFE3DB"/>
    <w:rsid w:val="51FED7AB"/>
    <w:rsid w:val="58E070A9"/>
    <w:rsid w:val="59D74A77"/>
    <w:rsid w:val="5BD462C2"/>
    <w:rsid w:val="5DDD6E63"/>
    <w:rsid w:val="5DFFF1C2"/>
    <w:rsid w:val="5EF68BA5"/>
    <w:rsid w:val="5EFA7CCD"/>
    <w:rsid w:val="5FF47111"/>
    <w:rsid w:val="66625296"/>
    <w:rsid w:val="68053B93"/>
    <w:rsid w:val="6FBB27F8"/>
    <w:rsid w:val="6FFED757"/>
    <w:rsid w:val="71BF47DB"/>
    <w:rsid w:val="757DE146"/>
    <w:rsid w:val="7A58B68D"/>
    <w:rsid w:val="7ABF64E1"/>
    <w:rsid w:val="7BF87549"/>
    <w:rsid w:val="7CD7CF4C"/>
    <w:rsid w:val="7DEBE193"/>
    <w:rsid w:val="7DFF67AF"/>
    <w:rsid w:val="7ED3C569"/>
    <w:rsid w:val="7F7D58EC"/>
    <w:rsid w:val="7FE3EC06"/>
    <w:rsid w:val="7FFDAEFF"/>
    <w:rsid w:val="97CACACF"/>
    <w:rsid w:val="9CBF7140"/>
    <w:rsid w:val="9D4B5CFF"/>
    <w:rsid w:val="AFB96B40"/>
    <w:rsid w:val="BA7B23C6"/>
    <w:rsid w:val="BBFBA4A4"/>
    <w:rsid w:val="BF8AF848"/>
    <w:rsid w:val="BFEA6BFC"/>
    <w:rsid w:val="CAFE5964"/>
    <w:rsid w:val="D53734F0"/>
    <w:rsid w:val="D9F6198C"/>
    <w:rsid w:val="DBBC3235"/>
    <w:rsid w:val="DFF7E9E8"/>
    <w:rsid w:val="E9F71EFB"/>
    <w:rsid w:val="EDD541CF"/>
    <w:rsid w:val="EDFC0EA4"/>
    <w:rsid w:val="EFF9FEB2"/>
    <w:rsid w:val="F6DF2EFF"/>
    <w:rsid w:val="FAFF9A5B"/>
    <w:rsid w:val="FB6F29BA"/>
    <w:rsid w:val="FE2F3ADE"/>
    <w:rsid w:val="FE734873"/>
    <w:rsid w:val="FEE7B85A"/>
    <w:rsid w:val="FFFFB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字符"/>
    <w:basedOn w:val="8"/>
    <w:link w:val="4"/>
    <w:qFormat/>
    <w:uiPriority w:val="99"/>
    <w:rPr>
      <w:sz w:val="18"/>
      <w:szCs w:val="18"/>
    </w:rPr>
  </w:style>
  <w:style w:type="character" w:customStyle="1" w:styleId="10">
    <w:name w:val="页脚 字符"/>
    <w:basedOn w:val="8"/>
    <w:link w:val="3"/>
    <w:qFormat/>
    <w:uiPriority w:val="99"/>
    <w:rPr>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1415</Words>
  <Characters>8069</Characters>
  <Lines>67</Lines>
  <Paragraphs>18</Paragraphs>
  <TotalTime>1</TotalTime>
  <ScaleCrop>false</ScaleCrop>
  <LinksUpToDate>false</LinksUpToDate>
  <CharactersWithSpaces>9466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2021-10-12T11:30:00Z</dcterms:created>
  <dc:creator>郑 明圆</dc:creator>
  <cp:lastModifiedBy>user</cp:lastModifiedBy>
  <cp:lastPrinted>2021-10-15T15:04:00Z</cp:lastPrinted>
  <dcterms:modified xsi:type="dcterms:W3CDTF">2021-10-27T16:10:15Z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