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A9" w:rsidRDefault="009551A9" w:rsidP="009551A9">
      <w:pPr>
        <w:widowControl/>
        <w:spacing w:line="560" w:lineRule="exact"/>
        <w:jc w:val="lef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9551A9" w:rsidRDefault="009551A9" w:rsidP="009551A9">
      <w:pPr>
        <w:widowControl/>
        <w:spacing w:line="560" w:lineRule="exact"/>
        <w:jc w:val="left"/>
        <w:rPr>
          <w:rFonts w:ascii="黑体" w:eastAsia="黑体" w:hint="eastAsia"/>
          <w:szCs w:val="32"/>
        </w:rPr>
      </w:pPr>
    </w:p>
    <w:p w:rsidR="009551A9" w:rsidRDefault="009551A9" w:rsidP="009551A9">
      <w:pPr>
        <w:tabs>
          <w:tab w:val="left" w:pos="2999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2021-2022年度上海市城市数字化转型项目申报指南</w:t>
      </w:r>
    </w:p>
    <w:p w:rsidR="009551A9" w:rsidRDefault="009551A9" w:rsidP="009551A9">
      <w:pPr>
        <w:tabs>
          <w:tab w:val="left" w:pos="2999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szCs w:val="32"/>
        </w:rPr>
      </w:pPr>
    </w:p>
    <w:p w:rsidR="009551A9" w:rsidRDefault="009551A9" w:rsidP="009551A9">
      <w:pPr>
        <w:tabs>
          <w:tab w:val="left" w:pos="2999"/>
        </w:tabs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一、技术赋能数字化应用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（一）医疗卫生。</w:t>
      </w:r>
      <w:r>
        <w:rPr>
          <w:rFonts w:ascii="仿宋_GB2312" w:hint="eastAsia"/>
          <w:szCs w:val="32"/>
        </w:rPr>
        <w:t>以患者需求为核心，实现全流程、一体化线上就医，创新医疗服务流程。利用信息技术开展跨地域、跨层级合作，在疾病筛查、智能手术、随访回访等方面，全面提升诊疗能力。其他有较好应用场景、能全面推广的数字健康项目。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（二）为老服务。</w:t>
      </w:r>
      <w:r>
        <w:rPr>
          <w:rFonts w:ascii="仿宋_GB2312" w:hint="eastAsia"/>
          <w:szCs w:val="32"/>
        </w:rPr>
        <w:t>“一键通”为老服务场景中所需的具有一键通话、主动定位、长时间待机等功能的终端产品研发。通过固话、手机、电视、智能屏等终端改造，方便老人通过“一键通”为老服务场景享受健康医疗、交通出行、物业管理、康养护理等为老服务。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（三）交通出行。</w:t>
      </w:r>
      <w:r>
        <w:rPr>
          <w:rFonts w:ascii="仿宋_GB2312" w:hint="eastAsia"/>
          <w:szCs w:val="32"/>
        </w:rPr>
        <w:t>在医院、学校、商圈、景区、交通枢纽等重点区域，开展停车预约、无感支付、错峰共享、智慧停车场等示范应用，提升停车便捷度。探索涵盖公交、地铁、出租等各类出行方式，综合行前信息查询、行中服务实现、行后结算支付等各环节的一站</w:t>
      </w:r>
      <w:proofErr w:type="gramStart"/>
      <w:r>
        <w:rPr>
          <w:rFonts w:ascii="仿宋_GB2312" w:hint="eastAsia"/>
          <w:szCs w:val="32"/>
        </w:rPr>
        <w:t>式交通</w:t>
      </w:r>
      <w:proofErr w:type="gramEnd"/>
      <w:r>
        <w:rPr>
          <w:rFonts w:ascii="仿宋_GB2312" w:hint="eastAsia"/>
          <w:szCs w:val="32"/>
        </w:rPr>
        <w:t>出行服务。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（四）文体旅游。</w:t>
      </w:r>
      <w:r>
        <w:rPr>
          <w:rFonts w:ascii="仿宋_GB2312" w:hint="eastAsia"/>
          <w:szCs w:val="32"/>
        </w:rPr>
        <w:t>围绕打造数字酒店，创新预订、入住、客房、离店等环节服务模式。推进人工智能、网络直播、虚拟现实等技术对景点、</w:t>
      </w:r>
      <w:proofErr w:type="gramStart"/>
      <w:r>
        <w:rPr>
          <w:rFonts w:ascii="仿宋_GB2312" w:hint="eastAsia"/>
          <w:szCs w:val="32"/>
        </w:rPr>
        <w:t>文旅场所</w:t>
      </w:r>
      <w:proofErr w:type="gramEnd"/>
      <w:r>
        <w:rPr>
          <w:rFonts w:ascii="仿宋_GB2312" w:hint="eastAsia"/>
          <w:szCs w:val="32"/>
        </w:rPr>
        <w:t>、红色文化资源等的赋能，搭建整合跨行业资源的一站式旅游服务平台。支持开发推广文化娱</w:t>
      </w:r>
      <w:r>
        <w:rPr>
          <w:rFonts w:ascii="仿宋_GB2312" w:hint="eastAsia"/>
          <w:szCs w:val="32"/>
        </w:rPr>
        <w:lastRenderedPageBreak/>
        <w:t>乐、运动健身、媒体传播等领域，体现城市内涵、具有创新度的数字化体验产品。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（五）教育学习。</w:t>
      </w:r>
      <w:r>
        <w:rPr>
          <w:rFonts w:ascii="仿宋_GB2312" w:hint="eastAsia"/>
          <w:szCs w:val="32"/>
        </w:rPr>
        <w:t>探索数据驱动的大规模因材施教、线上线下融合等数字赋能教育新模式。整合优质数字教育资源，构建满足市民学习需求的综合性或者专业性数字化学习平台。支持通过信息技术赋能，研发应用体现个性化、交互性、沉浸式、自适应等特点的数字化教育和学习产品。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（六）区域示范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1、区域发展。</w:t>
      </w:r>
      <w:r>
        <w:rPr>
          <w:rFonts w:ascii="仿宋_GB2312" w:hAnsi="仿宋_GB2312" w:cs="仿宋_GB2312" w:hint="eastAsia"/>
          <w:szCs w:val="32"/>
        </w:rPr>
        <w:t>推动通过数字技术赋能区域升级发展，支持建设数字孪生底座平台、行业共性赋能平台等，提升区域数字服务供给能级，促进综合性集成场景应用。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2、数字家园。</w:t>
      </w:r>
      <w:r>
        <w:rPr>
          <w:rFonts w:ascii="仿宋_GB2312" w:hAnsi="仿宋_GB2312" w:cs="仿宋_GB2312" w:hint="eastAsia"/>
          <w:szCs w:val="32"/>
        </w:rPr>
        <w:t>围绕构建15分钟社区生活圈，支持物流快递、就餐零售、医疗健康、停车充电等社区新型终端的落地推广。支持电商平台和本市重点商街开展线上线下合作，促进具有特色和影响力的新消费模式发展。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二、大数据创新发展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（一）大数据重点载体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1、大数据联合创新实验室。</w:t>
      </w:r>
      <w:r>
        <w:rPr>
          <w:rFonts w:ascii="仿宋_GB2312" w:hAnsi="仿宋_GB2312" w:cs="仿宋_GB2312" w:hint="eastAsia"/>
          <w:szCs w:val="32"/>
        </w:rPr>
        <w:t>支</w:t>
      </w:r>
      <w:r>
        <w:rPr>
          <w:rFonts w:ascii="仿宋_GB2312" w:hAnsi="仿宋_GB2312" w:cs="仿宋_GB2312" w:hint="eastAsia"/>
          <w:bCs/>
          <w:szCs w:val="32"/>
        </w:rPr>
        <w:t>持围绕工业、金融、航运等城市数字化转型重点领域大数据联合创新实验室建设，开展数据融合和创新实验，促进产学研用深度结合，深度释放数据价值。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（二）大数据关键</w:t>
      </w:r>
      <w:r>
        <w:rPr>
          <w:rFonts w:ascii="仿宋_GB2312" w:hAnsi="仿宋_GB2312" w:cs="仿宋_GB2312"/>
          <w:b/>
          <w:szCs w:val="32"/>
        </w:rPr>
        <w:t>技术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2、关键技术创新和示范。</w:t>
      </w:r>
      <w:r>
        <w:rPr>
          <w:rFonts w:ascii="仿宋_GB2312" w:hAnsi="仿宋_GB2312" w:cs="仿宋_GB2312" w:hint="eastAsia"/>
          <w:szCs w:val="32"/>
        </w:rPr>
        <w:t>支持围绕数据流通交易、多方安全计算、多模态融合、大规模图计算、数据隐私</w:t>
      </w:r>
      <w:r>
        <w:rPr>
          <w:rFonts w:ascii="仿宋_GB2312" w:hAnsi="仿宋_GB2312" w:cs="仿宋_GB2312"/>
          <w:szCs w:val="32"/>
        </w:rPr>
        <w:t>保护、</w:t>
      </w:r>
      <w:r>
        <w:rPr>
          <w:rFonts w:ascii="仿宋_GB2312" w:hAnsi="仿宋_GB2312" w:cs="仿宋_GB2312" w:hint="eastAsia"/>
          <w:szCs w:val="32"/>
        </w:rPr>
        <w:t>智能</w:t>
      </w:r>
      <w:r>
        <w:rPr>
          <w:rFonts w:ascii="仿宋_GB2312" w:hAnsi="仿宋_GB2312" w:cs="仿宋_GB2312" w:hint="eastAsia"/>
          <w:szCs w:val="32"/>
        </w:rPr>
        <w:lastRenderedPageBreak/>
        <w:t>化数据治理分析、批处理</w:t>
      </w:r>
      <w:proofErr w:type="gramStart"/>
      <w:r>
        <w:rPr>
          <w:rFonts w:ascii="仿宋_GB2312" w:hAnsi="仿宋_GB2312" w:cs="仿宋_GB2312" w:hint="eastAsia"/>
          <w:szCs w:val="32"/>
        </w:rPr>
        <w:t>流处理</w:t>
      </w:r>
      <w:proofErr w:type="gramEnd"/>
      <w:r>
        <w:rPr>
          <w:rFonts w:ascii="仿宋_GB2312" w:hAnsi="仿宋_GB2312" w:cs="仿宋_GB2312" w:hint="eastAsia"/>
          <w:szCs w:val="32"/>
        </w:rPr>
        <w:t>一体化架构等大数据共性关键技术开展研究</w:t>
      </w:r>
      <w:r>
        <w:rPr>
          <w:rFonts w:ascii="仿宋_GB2312" w:hAnsi="仿宋_GB2312" w:cs="仿宋_GB2312"/>
          <w:szCs w:val="32"/>
        </w:rPr>
        <w:t>和</w:t>
      </w:r>
      <w:r>
        <w:rPr>
          <w:rFonts w:ascii="仿宋_GB2312" w:hAnsi="仿宋_GB2312" w:cs="仿宋_GB2312" w:hint="eastAsia"/>
          <w:szCs w:val="32"/>
        </w:rPr>
        <w:t>产业化</w:t>
      </w:r>
      <w:r>
        <w:rPr>
          <w:rFonts w:ascii="仿宋_GB2312" w:hAnsi="仿宋_GB2312" w:cs="仿宋_GB2312"/>
          <w:szCs w:val="32"/>
        </w:rPr>
        <w:t>应用</w:t>
      </w:r>
      <w:r>
        <w:rPr>
          <w:rFonts w:ascii="仿宋_GB2312" w:hAnsi="仿宋_GB2312" w:cs="仿宋_GB2312" w:hint="eastAsia"/>
          <w:szCs w:val="32"/>
        </w:rPr>
        <w:t>。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（三）大数据赋能平台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3、行业大数据平台</w:t>
      </w:r>
      <w:r>
        <w:rPr>
          <w:rFonts w:ascii="仿宋_GB2312" w:hAnsi="仿宋_GB2312" w:cs="仿宋_GB2312"/>
          <w:b/>
          <w:szCs w:val="32"/>
        </w:rPr>
        <w:t>建设和</w:t>
      </w:r>
      <w:r>
        <w:rPr>
          <w:rFonts w:ascii="仿宋_GB2312" w:hAnsi="仿宋_GB2312" w:cs="仿宋_GB2312" w:hint="eastAsia"/>
          <w:b/>
          <w:szCs w:val="32"/>
        </w:rPr>
        <w:t>创新</w:t>
      </w:r>
      <w:r>
        <w:rPr>
          <w:rFonts w:ascii="仿宋_GB2312" w:hAnsi="仿宋_GB2312" w:cs="仿宋_GB2312"/>
          <w:b/>
          <w:szCs w:val="32"/>
        </w:rPr>
        <w:t>应用</w:t>
      </w:r>
      <w:r>
        <w:rPr>
          <w:rFonts w:ascii="仿宋_GB2312" w:hAnsi="仿宋_GB2312" w:cs="仿宋_GB2312" w:hint="eastAsia"/>
          <w:b/>
          <w:szCs w:val="32"/>
        </w:rPr>
        <w:t>。</w:t>
      </w:r>
      <w:r>
        <w:rPr>
          <w:rFonts w:ascii="仿宋_GB2312" w:hAnsi="仿宋_GB2312" w:cs="仿宋_GB2312" w:hint="eastAsia"/>
          <w:szCs w:val="32"/>
        </w:rPr>
        <w:t>支持面向交通物流、医疗健康、生产</w:t>
      </w:r>
      <w:r>
        <w:rPr>
          <w:rFonts w:ascii="仿宋_GB2312" w:hAnsi="仿宋_GB2312" w:cs="仿宋_GB2312"/>
          <w:szCs w:val="32"/>
        </w:rPr>
        <w:t>制造、</w:t>
      </w:r>
      <w:r>
        <w:rPr>
          <w:rFonts w:ascii="仿宋_GB2312" w:hAnsi="仿宋_GB2312" w:cs="仿宋_GB2312" w:hint="eastAsia"/>
          <w:szCs w:val="32"/>
        </w:rPr>
        <w:t>金融服务、</w:t>
      </w:r>
      <w:r>
        <w:rPr>
          <w:rFonts w:ascii="仿宋_GB2312" w:hAnsi="仿宋_GB2312" w:cs="仿宋_GB2312"/>
          <w:szCs w:val="32"/>
        </w:rPr>
        <w:t>信用服务</w:t>
      </w:r>
      <w:r>
        <w:rPr>
          <w:rFonts w:ascii="仿宋_GB2312" w:hAnsi="仿宋_GB2312" w:cs="仿宋_GB2312" w:hint="eastAsia"/>
          <w:szCs w:val="32"/>
        </w:rPr>
        <w:t>等重点领域数字化</w:t>
      </w:r>
      <w:r>
        <w:rPr>
          <w:rFonts w:ascii="仿宋_GB2312" w:hAnsi="仿宋_GB2312" w:cs="仿宋_GB2312"/>
          <w:szCs w:val="32"/>
        </w:rPr>
        <w:t>转型</w:t>
      </w:r>
      <w:r>
        <w:rPr>
          <w:rFonts w:ascii="仿宋_GB2312" w:hAnsi="仿宋_GB2312" w:cs="仿宋_GB2312" w:hint="eastAsia"/>
          <w:szCs w:val="32"/>
        </w:rPr>
        <w:t>的资产型、</w:t>
      </w:r>
      <w:r>
        <w:rPr>
          <w:rFonts w:ascii="仿宋_GB2312" w:hAnsi="仿宋_GB2312" w:cs="仿宋_GB2312"/>
          <w:szCs w:val="32"/>
        </w:rPr>
        <w:t>知识化</w:t>
      </w:r>
      <w:r>
        <w:rPr>
          <w:rFonts w:ascii="仿宋_GB2312" w:hAnsi="仿宋_GB2312" w:cs="仿宋_GB2312" w:hint="eastAsia"/>
          <w:szCs w:val="32"/>
        </w:rPr>
        <w:t>大数据平台建设，并</w:t>
      </w:r>
      <w:r>
        <w:rPr>
          <w:rFonts w:ascii="仿宋_GB2312" w:hAnsi="仿宋_GB2312" w:cs="仿宋_GB2312"/>
          <w:szCs w:val="32"/>
        </w:rPr>
        <w:t>开展</w:t>
      </w:r>
      <w:r>
        <w:rPr>
          <w:rFonts w:ascii="仿宋_GB2312" w:hAnsi="仿宋_GB2312" w:cs="仿宋_GB2312" w:hint="eastAsia"/>
          <w:szCs w:val="32"/>
        </w:rPr>
        <w:t>场景</w:t>
      </w:r>
      <w:proofErr w:type="gramStart"/>
      <w:r>
        <w:rPr>
          <w:rFonts w:ascii="仿宋_GB2312" w:hAnsi="仿宋_GB2312" w:cs="仿宋_GB2312" w:hint="eastAsia"/>
          <w:szCs w:val="32"/>
        </w:rPr>
        <w:t>化</w:t>
      </w:r>
      <w:r>
        <w:rPr>
          <w:rFonts w:ascii="仿宋_GB2312" w:hAnsi="仿宋_GB2312" w:cs="仿宋_GB2312"/>
          <w:szCs w:val="32"/>
        </w:rPr>
        <w:t>创新</w:t>
      </w:r>
      <w:proofErr w:type="gramEnd"/>
      <w:r>
        <w:rPr>
          <w:rFonts w:ascii="仿宋_GB2312" w:hAnsi="仿宋_GB2312" w:cs="仿宋_GB2312" w:hint="eastAsia"/>
          <w:szCs w:val="32"/>
        </w:rPr>
        <w:t>示范。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4、大数据公共服务平台。</w:t>
      </w:r>
      <w:r>
        <w:rPr>
          <w:rFonts w:ascii="仿宋_GB2312" w:hAnsi="仿宋_GB2312" w:cs="仿宋_GB2312" w:hint="eastAsia"/>
          <w:szCs w:val="32"/>
        </w:rPr>
        <w:t>支持大数据交易服务、大数据竞赛、数据素养教育</w:t>
      </w:r>
      <w:r>
        <w:rPr>
          <w:rFonts w:ascii="仿宋_GB2312" w:hAnsi="仿宋_GB2312" w:cs="仿宋_GB2312"/>
          <w:szCs w:val="32"/>
        </w:rPr>
        <w:t>与培训</w:t>
      </w:r>
      <w:r>
        <w:rPr>
          <w:rFonts w:ascii="仿宋_GB2312" w:hAnsi="仿宋_GB2312" w:cs="仿宋_GB2312" w:hint="eastAsia"/>
          <w:szCs w:val="32"/>
        </w:rPr>
        <w:t>、数据要素统计分析等公共服务平台。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（四）大数据创新</w:t>
      </w:r>
      <w:r>
        <w:rPr>
          <w:rFonts w:ascii="仿宋_GB2312" w:hAnsi="仿宋_GB2312" w:cs="仿宋_GB2312"/>
          <w:b/>
          <w:szCs w:val="32"/>
        </w:rPr>
        <w:t>应用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5、高质量数据产业化和示范。</w:t>
      </w:r>
      <w:r>
        <w:rPr>
          <w:rFonts w:ascii="仿宋_GB2312" w:hAnsi="仿宋_GB2312" w:cs="仿宋_GB2312" w:hint="eastAsia"/>
          <w:szCs w:val="32"/>
        </w:rPr>
        <w:t>支持数据标准化、资产化管理创新应用与示范，支持高质量数据集和数据资源图谱的建设。</w:t>
      </w:r>
    </w:p>
    <w:p w:rsidR="009551A9" w:rsidRDefault="009551A9" w:rsidP="009551A9">
      <w:pPr>
        <w:widowControl/>
        <w:adjustRightInd w:val="0"/>
        <w:snapToGrid w:val="0"/>
        <w:spacing w:line="560" w:lineRule="exact"/>
        <w:ind w:firstLineChars="200" w:firstLine="618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6、数据开放与开发利用。</w:t>
      </w:r>
      <w:r>
        <w:rPr>
          <w:rFonts w:ascii="仿宋_GB2312" w:hAnsi="仿宋_GB2312" w:cs="仿宋_GB2312" w:hint="eastAsia"/>
          <w:szCs w:val="32"/>
        </w:rPr>
        <w:t>支持面向普惠金融、交通物流、文化旅游、农业农村、社会信用等领域，融合公共数据和社会数据，赋能经济、治理、生活数字化能级提升的创新应用示范。优先支持纳入公共数据开放和开发利用试点项目、大数据联合创新实验室等本市重点试点任务的大数据创新应用示范。</w:t>
      </w:r>
    </w:p>
    <w:p w:rsidR="009551A9" w:rsidRDefault="009551A9" w:rsidP="009551A9">
      <w:pPr>
        <w:adjustRightInd w:val="0"/>
        <w:snapToGrid w:val="0"/>
        <w:spacing w:line="560" w:lineRule="exact"/>
        <w:ind w:firstLineChars="200" w:firstLine="618"/>
        <w:rPr>
          <w:rFonts w:ascii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7、重点领域和重点区域大数据示范应用。</w:t>
      </w:r>
      <w:r>
        <w:rPr>
          <w:rFonts w:ascii="仿宋_GB2312" w:hAnsi="仿宋_GB2312" w:cs="仿宋_GB2312" w:hint="eastAsia"/>
          <w:szCs w:val="32"/>
        </w:rPr>
        <w:t>支持面向承接国家战略的重点领域、重点区域大数据创新应用示范。支持国际数据港、数据交易所等重点任务建设。</w:t>
      </w:r>
    </w:p>
    <w:p w:rsidR="008F61CD" w:rsidRPr="009551A9" w:rsidRDefault="008F61CD"/>
    <w:sectPr w:rsidR="008F61CD" w:rsidRPr="009551A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1A9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1A9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A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2021-12-20T03:10:00Z</dcterms:created>
  <dcterms:modified xsi:type="dcterms:W3CDTF">2021-12-20T03:10:00Z</dcterms:modified>
</cp:coreProperties>
</file>