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5C" w:rsidRDefault="00FA4D5C" w:rsidP="00FA4D5C">
      <w:pPr>
        <w:spacing w:line="480" w:lineRule="exact"/>
        <w:outlineLvl w:val="0"/>
        <w:rPr>
          <w:rFonts w:ascii="黑体" w:eastAsia="黑体" w:hAnsi="黑体" w:cs="黑体" w:hint="eastAsia"/>
          <w:szCs w:val="32"/>
        </w:rPr>
      </w:pPr>
      <w:r>
        <w:rPr>
          <w:rFonts w:ascii="黑体" w:eastAsia="黑体" w:hAnsi="黑体" w:cs="黑体" w:hint="eastAsia"/>
          <w:szCs w:val="32"/>
        </w:rPr>
        <w:t>附件1</w:t>
      </w:r>
    </w:p>
    <w:p w:rsidR="00FA4D5C" w:rsidRDefault="00FA4D5C" w:rsidP="00FA4D5C">
      <w:pPr>
        <w:spacing w:line="480" w:lineRule="exact"/>
        <w:jc w:val="center"/>
        <w:outlineLvl w:val="0"/>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绿色数据中心评价指标体系</w:t>
      </w:r>
    </w:p>
    <w:p w:rsidR="00FA4D5C" w:rsidRDefault="00FA4D5C" w:rsidP="00FA4D5C">
      <w:pPr>
        <w:spacing w:line="480" w:lineRule="exact"/>
        <w:jc w:val="center"/>
        <w:rPr>
          <w:rFonts w:eastAsia="黑体"/>
          <w:sz w:val="36"/>
          <w:szCs w:val="36"/>
        </w:rPr>
      </w:pPr>
    </w:p>
    <w:p w:rsidR="00FA4D5C" w:rsidRDefault="00FA4D5C" w:rsidP="00FA4D5C">
      <w:pPr>
        <w:pStyle w:val="Style1"/>
        <w:autoSpaceDE w:val="0"/>
        <w:autoSpaceDN w:val="0"/>
        <w:spacing w:line="480" w:lineRule="exact"/>
        <w:ind w:firstLine="616"/>
        <w:jc w:val="left"/>
        <w:outlineLvl w:val="0"/>
        <w:rPr>
          <w:rFonts w:ascii="黑体" w:eastAsia="黑体" w:hAnsi="黑体" w:cs="黑体" w:hint="eastAsia"/>
          <w:kern w:val="0"/>
          <w:szCs w:val="32"/>
        </w:rPr>
      </w:pPr>
      <w:r>
        <w:rPr>
          <w:rFonts w:ascii="黑体" w:eastAsia="黑体" w:hAnsi="黑体" w:cs="黑体" w:hint="eastAsia"/>
          <w:kern w:val="0"/>
          <w:szCs w:val="32"/>
        </w:rPr>
        <w:t>一、评价指标体系</w:t>
      </w:r>
    </w:p>
    <w:p w:rsidR="00FA4D5C" w:rsidRDefault="00FA4D5C" w:rsidP="00FA4D5C">
      <w:pPr>
        <w:pStyle w:val="Style4"/>
        <w:autoSpaceDE w:val="0"/>
        <w:autoSpaceDN w:val="0"/>
        <w:spacing w:line="480" w:lineRule="exact"/>
        <w:ind w:firstLine="616"/>
        <w:jc w:val="left"/>
        <w:rPr>
          <w:rFonts w:ascii="仿宋_GB2312" w:hAnsi="仿宋_GB2312" w:cs="仿宋_GB2312" w:hint="eastAsia"/>
          <w:bCs/>
          <w:szCs w:val="32"/>
        </w:rPr>
      </w:pPr>
      <w:r>
        <w:rPr>
          <w:rFonts w:ascii="仿宋_GB2312" w:hAnsi="仿宋_GB2312" w:cs="仿宋_GB2312" w:hint="eastAsia"/>
          <w:bCs/>
          <w:szCs w:val="32"/>
        </w:rPr>
        <w:t>绿色数据中心评价指标体系由能源资源高效利用情况</w:t>
      </w:r>
      <w:r>
        <w:rPr>
          <w:rFonts w:ascii="仿宋_GB2312" w:hAnsi="仿宋_GB2312" w:cs="仿宋_GB2312" w:hint="eastAsia"/>
          <w:kern w:val="0"/>
          <w:szCs w:val="32"/>
        </w:rPr>
        <w:t>、绿色设计及绿色采购、能源资源使用管理、设备绿色管理和加分项等</w:t>
      </w:r>
      <w:r>
        <w:rPr>
          <w:rFonts w:ascii="仿宋_GB2312" w:hAnsi="仿宋_GB2312" w:cs="仿宋_GB2312" w:hint="eastAsia"/>
          <w:bCs/>
          <w:szCs w:val="32"/>
        </w:rPr>
        <w:t>5个方面、17个指标项组成，具体详见下表。</w:t>
      </w:r>
    </w:p>
    <w:p w:rsidR="00FA4D5C" w:rsidRDefault="00FA4D5C" w:rsidP="00FA4D5C">
      <w:pPr>
        <w:tabs>
          <w:tab w:val="center" w:pos="6663"/>
        </w:tabs>
        <w:spacing w:line="480" w:lineRule="exact"/>
        <w:jc w:val="center"/>
        <w:rPr>
          <w:rFonts w:ascii="仿宋_GB2312" w:hAnsi="仿宋_GB2312" w:cs="仿宋_GB2312" w:hint="eastAsia"/>
          <w:b/>
          <w:bCs/>
          <w:sz w:val="28"/>
          <w:szCs w:val="28"/>
        </w:rPr>
      </w:pPr>
      <w:r>
        <w:rPr>
          <w:rFonts w:ascii="仿宋_GB2312" w:hAnsi="仿宋_GB2312" w:cs="仿宋_GB2312" w:hint="eastAsia"/>
          <w:b/>
          <w:bCs/>
          <w:sz w:val="28"/>
          <w:szCs w:val="28"/>
        </w:rPr>
        <w:t>表1 绿色数据中心评价指标表</w:t>
      </w:r>
    </w:p>
    <w:tbl>
      <w:tblPr>
        <w:tblW w:w="0" w:type="auto"/>
        <w:jc w:val="center"/>
        <w:tblLayout w:type="fixed"/>
        <w:tblCellMar>
          <w:left w:w="0" w:type="dxa"/>
          <w:right w:w="0" w:type="dxa"/>
        </w:tblCellMar>
        <w:tblLook w:val="0000"/>
      </w:tblPr>
      <w:tblGrid>
        <w:gridCol w:w="972"/>
        <w:gridCol w:w="4801"/>
        <w:gridCol w:w="1296"/>
      </w:tblGrid>
      <w:tr w:rsidR="00FA4D5C" w:rsidTr="00E90470">
        <w:trPr>
          <w:trHeight w:val="329"/>
          <w:jc w:val="center"/>
        </w:trPr>
        <w:tc>
          <w:tcPr>
            <w:tcW w:w="972"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rPr>
              <w:t>序号</w:t>
            </w:r>
          </w:p>
        </w:tc>
        <w:tc>
          <w:tcPr>
            <w:tcW w:w="4801" w:type="dxa"/>
            <w:tcBorders>
              <w:top w:val="single" w:sz="8" w:space="0" w:color="000000"/>
              <w:left w:val="single" w:sz="8" w:space="0" w:color="000000"/>
              <w:bottom w:val="single" w:sz="8" w:space="0" w:color="000000"/>
              <w:right w:val="single" w:sz="4" w:space="0" w:color="auto"/>
            </w:tcBorders>
            <w:tcMar>
              <w:top w:w="12" w:type="dxa"/>
              <w:left w:w="12" w:type="dxa"/>
              <w:right w:w="12" w:type="dxa"/>
            </w:tcMar>
            <w:vAlign w:val="center"/>
          </w:tcPr>
          <w:p w:rsidR="00FA4D5C" w:rsidRDefault="00FA4D5C" w:rsidP="00E90470">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rPr>
              <w:t>指标</w:t>
            </w:r>
          </w:p>
        </w:tc>
        <w:tc>
          <w:tcPr>
            <w:tcW w:w="129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rPr>
              <w:t>权重分值</w:t>
            </w:r>
          </w:p>
        </w:tc>
      </w:tr>
      <w:tr w:rsidR="00FA4D5C" w:rsidTr="00E90470">
        <w:trPr>
          <w:trHeight w:val="329"/>
          <w:jc w:val="center"/>
        </w:trPr>
        <w:tc>
          <w:tcPr>
            <w:tcW w:w="7069" w:type="dxa"/>
            <w:gridSpan w:val="3"/>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一、能源资源高效利用情况</w:t>
            </w:r>
          </w:p>
        </w:tc>
      </w:tr>
      <w:tr w:rsidR="00FA4D5C" w:rsidTr="00E90470">
        <w:trPr>
          <w:trHeight w:val="329"/>
          <w:jc w:val="center"/>
        </w:trPr>
        <w:tc>
          <w:tcPr>
            <w:tcW w:w="972" w:type="dxa"/>
            <w:tcBorders>
              <w:top w:val="single" w:sz="8" w:space="0" w:color="000000"/>
              <w:left w:val="single" w:sz="8" w:space="0" w:color="000000"/>
              <w:bottom w:val="nil"/>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1</w:t>
            </w:r>
          </w:p>
        </w:tc>
        <w:tc>
          <w:tcPr>
            <w:tcW w:w="480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rPr>
            </w:pPr>
            <w:r>
              <w:rPr>
                <w:rStyle w:val="font31"/>
                <w:rFonts w:hAnsi="仿宋_GB2312" w:hint="eastAsia"/>
                <w:kern w:val="0"/>
                <w:lang/>
              </w:rPr>
              <w:t>电能利用效率（</w:t>
            </w:r>
            <w:r>
              <w:rPr>
                <w:rStyle w:val="font21"/>
                <w:rFonts w:ascii="仿宋_GB2312" w:hAnsi="仿宋_GB2312" w:cs="仿宋_GB2312" w:hint="eastAsia"/>
                <w:kern w:val="0"/>
                <w:lang/>
              </w:rPr>
              <w:t>PUE)</w:t>
            </w:r>
          </w:p>
        </w:tc>
        <w:tc>
          <w:tcPr>
            <w:tcW w:w="1296"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lang/>
              </w:rPr>
              <w:t>60</w:t>
            </w:r>
          </w:p>
        </w:tc>
      </w:tr>
      <w:tr w:rsidR="00FA4D5C" w:rsidTr="00E90470">
        <w:trPr>
          <w:trHeight w:val="329"/>
          <w:jc w:val="center"/>
        </w:trPr>
        <w:tc>
          <w:tcPr>
            <w:tcW w:w="972" w:type="dxa"/>
            <w:tcBorders>
              <w:top w:val="single" w:sz="8" w:space="0" w:color="000000"/>
              <w:left w:val="single" w:sz="8" w:space="0" w:color="000000"/>
              <w:bottom w:val="nil"/>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2</w:t>
            </w:r>
          </w:p>
        </w:tc>
        <w:tc>
          <w:tcPr>
            <w:tcW w:w="480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lang/>
              </w:rPr>
              <w:t>设计指标达标情况</w:t>
            </w:r>
          </w:p>
        </w:tc>
        <w:tc>
          <w:tcPr>
            <w:tcW w:w="1296"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lang/>
              </w:rPr>
              <w:t>3</w:t>
            </w:r>
          </w:p>
        </w:tc>
      </w:tr>
      <w:tr w:rsidR="00FA4D5C" w:rsidTr="00E90470">
        <w:trPr>
          <w:trHeight w:val="329"/>
          <w:jc w:val="center"/>
        </w:trPr>
        <w:tc>
          <w:tcPr>
            <w:tcW w:w="972" w:type="dxa"/>
            <w:tcBorders>
              <w:top w:val="single" w:sz="8" w:space="0" w:color="000000"/>
              <w:left w:val="single" w:sz="8" w:space="0" w:color="000000"/>
              <w:bottom w:val="nil"/>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3</w:t>
            </w:r>
          </w:p>
        </w:tc>
        <w:tc>
          <w:tcPr>
            <w:tcW w:w="480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lang/>
              </w:rPr>
              <w:t>IT设备负荷使用率</w:t>
            </w:r>
          </w:p>
        </w:tc>
        <w:tc>
          <w:tcPr>
            <w:tcW w:w="1296"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lang/>
              </w:rPr>
              <w:t>3</w:t>
            </w:r>
          </w:p>
        </w:tc>
      </w:tr>
      <w:tr w:rsidR="00FA4D5C" w:rsidTr="00E90470">
        <w:trPr>
          <w:trHeight w:val="329"/>
          <w:jc w:val="center"/>
        </w:trPr>
        <w:tc>
          <w:tcPr>
            <w:tcW w:w="972" w:type="dxa"/>
            <w:tcBorders>
              <w:top w:val="single" w:sz="8" w:space="0" w:color="000000"/>
              <w:left w:val="single" w:sz="8" w:space="0" w:color="000000"/>
              <w:bottom w:val="nil"/>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4</w:t>
            </w:r>
          </w:p>
        </w:tc>
        <w:tc>
          <w:tcPr>
            <w:tcW w:w="4801" w:type="dxa"/>
            <w:tcBorders>
              <w:top w:val="nil"/>
              <w:left w:val="single" w:sz="8" w:space="0" w:color="000000"/>
              <w:bottom w:val="single" w:sz="8" w:space="0" w:color="000000"/>
              <w:right w:val="nil"/>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lang/>
              </w:rPr>
              <w:t>可再生能源使用比率</w:t>
            </w:r>
          </w:p>
        </w:tc>
        <w:tc>
          <w:tcPr>
            <w:tcW w:w="1296"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lang/>
              </w:rPr>
              <w:t>2</w:t>
            </w:r>
          </w:p>
        </w:tc>
      </w:tr>
      <w:tr w:rsidR="00FA4D5C" w:rsidTr="00E90470">
        <w:trPr>
          <w:trHeight w:val="329"/>
          <w:jc w:val="center"/>
        </w:trPr>
        <w:tc>
          <w:tcPr>
            <w:tcW w:w="972" w:type="dxa"/>
            <w:tcBorders>
              <w:top w:val="single" w:sz="8" w:space="0" w:color="000000"/>
              <w:left w:val="single" w:sz="8" w:space="0" w:color="000000"/>
              <w:bottom w:val="nil"/>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5</w:t>
            </w:r>
          </w:p>
        </w:tc>
        <w:tc>
          <w:tcPr>
            <w:tcW w:w="480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lang/>
              </w:rPr>
              <w:t>水资源使用率</w:t>
            </w:r>
          </w:p>
        </w:tc>
        <w:tc>
          <w:tcPr>
            <w:tcW w:w="1296"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lang/>
              </w:rPr>
              <w:t>2</w:t>
            </w:r>
          </w:p>
        </w:tc>
      </w:tr>
      <w:tr w:rsidR="00FA4D5C" w:rsidTr="00E90470">
        <w:trPr>
          <w:trHeight w:val="329"/>
          <w:jc w:val="center"/>
        </w:trPr>
        <w:tc>
          <w:tcPr>
            <w:tcW w:w="7069" w:type="dxa"/>
            <w:gridSpan w:val="3"/>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二、绿色设计及绿色采购</w:t>
            </w:r>
          </w:p>
        </w:tc>
      </w:tr>
      <w:tr w:rsidR="00FA4D5C" w:rsidTr="00E90470">
        <w:trPr>
          <w:trHeight w:val="329"/>
          <w:jc w:val="center"/>
        </w:trPr>
        <w:tc>
          <w:tcPr>
            <w:tcW w:w="972" w:type="dxa"/>
            <w:tcBorders>
              <w:top w:val="nil"/>
              <w:left w:val="single" w:sz="8" w:space="0" w:color="000000"/>
              <w:bottom w:val="single" w:sz="8" w:space="0" w:color="000000"/>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6</w:t>
            </w:r>
          </w:p>
        </w:tc>
        <w:tc>
          <w:tcPr>
            <w:tcW w:w="480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绿色先进适用技术产品应用</w:t>
            </w:r>
          </w:p>
        </w:tc>
        <w:tc>
          <w:tcPr>
            <w:tcW w:w="1296"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10</w:t>
            </w:r>
          </w:p>
        </w:tc>
      </w:tr>
      <w:tr w:rsidR="00FA4D5C" w:rsidTr="00E90470">
        <w:trPr>
          <w:trHeight w:val="329"/>
          <w:jc w:val="center"/>
        </w:trPr>
        <w:tc>
          <w:tcPr>
            <w:tcW w:w="972" w:type="dxa"/>
            <w:tcBorders>
              <w:top w:val="nil"/>
              <w:left w:val="single" w:sz="8" w:space="0" w:color="000000"/>
              <w:bottom w:val="single" w:sz="8" w:space="0" w:color="000000"/>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7</w:t>
            </w:r>
          </w:p>
        </w:tc>
        <w:tc>
          <w:tcPr>
            <w:tcW w:w="480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清洁能源利用系统</w:t>
            </w:r>
          </w:p>
        </w:tc>
        <w:tc>
          <w:tcPr>
            <w:tcW w:w="1296"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r w:rsidR="00FA4D5C" w:rsidTr="00E90470">
        <w:trPr>
          <w:trHeight w:val="329"/>
          <w:jc w:val="center"/>
        </w:trPr>
        <w:tc>
          <w:tcPr>
            <w:tcW w:w="972" w:type="dxa"/>
            <w:tcBorders>
              <w:top w:val="nil"/>
              <w:left w:val="single" w:sz="8" w:space="0" w:color="000000"/>
              <w:bottom w:val="single" w:sz="8" w:space="0" w:color="000000"/>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8</w:t>
            </w:r>
          </w:p>
        </w:tc>
        <w:tc>
          <w:tcPr>
            <w:tcW w:w="480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绿色采购</w:t>
            </w:r>
          </w:p>
        </w:tc>
        <w:tc>
          <w:tcPr>
            <w:tcW w:w="1296"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r w:rsidR="00FA4D5C" w:rsidTr="00E90470">
        <w:trPr>
          <w:trHeight w:val="329"/>
          <w:jc w:val="center"/>
        </w:trPr>
        <w:tc>
          <w:tcPr>
            <w:tcW w:w="7069" w:type="dxa"/>
            <w:gridSpan w:val="3"/>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三、能源资源绿色管理</w:t>
            </w:r>
          </w:p>
        </w:tc>
      </w:tr>
      <w:tr w:rsidR="00FA4D5C" w:rsidTr="00E90470">
        <w:trPr>
          <w:trHeight w:val="329"/>
          <w:jc w:val="center"/>
        </w:trPr>
        <w:tc>
          <w:tcPr>
            <w:tcW w:w="972" w:type="dxa"/>
            <w:tcBorders>
              <w:top w:val="single" w:sz="8" w:space="0" w:color="000000"/>
              <w:left w:val="single" w:sz="8" w:space="0" w:color="000000"/>
              <w:bottom w:val="single" w:sz="4" w:space="0" w:color="auto"/>
              <w:right w:val="single" w:sz="8" w:space="0" w:color="000000"/>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9</w:t>
            </w:r>
          </w:p>
        </w:tc>
        <w:tc>
          <w:tcPr>
            <w:tcW w:w="4801" w:type="dxa"/>
            <w:tcBorders>
              <w:top w:val="nil"/>
              <w:left w:val="single" w:sz="8" w:space="0" w:color="000000"/>
              <w:bottom w:val="single" w:sz="4" w:space="0" w:color="auto"/>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能源使用管控</w:t>
            </w:r>
          </w:p>
        </w:tc>
        <w:tc>
          <w:tcPr>
            <w:tcW w:w="1296" w:type="dxa"/>
            <w:tcBorders>
              <w:top w:val="nil"/>
              <w:left w:val="single" w:sz="8" w:space="0" w:color="000000"/>
              <w:bottom w:val="single" w:sz="4" w:space="0" w:color="auto"/>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4</w:t>
            </w:r>
          </w:p>
        </w:tc>
      </w:tr>
      <w:tr w:rsidR="00FA4D5C" w:rsidTr="00E90470">
        <w:trPr>
          <w:trHeight w:val="329"/>
          <w:jc w:val="center"/>
        </w:trPr>
        <w:tc>
          <w:tcPr>
            <w:tcW w:w="97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10</w:t>
            </w:r>
          </w:p>
        </w:tc>
        <w:tc>
          <w:tcPr>
            <w:tcW w:w="480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水资源使用管控</w:t>
            </w:r>
          </w:p>
        </w:tc>
        <w:tc>
          <w:tcPr>
            <w:tcW w:w="129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r w:rsidR="00FA4D5C" w:rsidTr="00E90470">
        <w:trPr>
          <w:trHeight w:val="329"/>
          <w:jc w:val="center"/>
        </w:trPr>
        <w:tc>
          <w:tcPr>
            <w:tcW w:w="97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11</w:t>
            </w:r>
          </w:p>
        </w:tc>
        <w:tc>
          <w:tcPr>
            <w:tcW w:w="480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节能诊断服务</w:t>
            </w:r>
          </w:p>
        </w:tc>
        <w:tc>
          <w:tcPr>
            <w:tcW w:w="129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r w:rsidR="00FA4D5C" w:rsidTr="00E90470">
        <w:trPr>
          <w:trHeight w:val="329"/>
          <w:jc w:val="center"/>
        </w:trPr>
        <w:tc>
          <w:tcPr>
            <w:tcW w:w="972" w:type="dxa"/>
            <w:tcBorders>
              <w:top w:val="single" w:sz="4" w:space="0" w:color="auto"/>
              <w:left w:val="single" w:sz="8" w:space="0" w:color="000000"/>
              <w:bottom w:val="nil"/>
              <w:right w:val="single" w:sz="8" w:space="0" w:color="000000"/>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12</w:t>
            </w:r>
          </w:p>
        </w:tc>
        <w:tc>
          <w:tcPr>
            <w:tcW w:w="4801" w:type="dxa"/>
            <w:tcBorders>
              <w:top w:val="single" w:sz="4" w:space="0" w:color="auto"/>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第三方评测</w:t>
            </w:r>
          </w:p>
        </w:tc>
        <w:tc>
          <w:tcPr>
            <w:tcW w:w="1296" w:type="dxa"/>
            <w:tcBorders>
              <w:top w:val="single" w:sz="4" w:space="0" w:color="auto"/>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r w:rsidR="00FA4D5C" w:rsidTr="00E90470">
        <w:trPr>
          <w:trHeight w:val="329"/>
          <w:jc w:val="center"/>
        </w:trPr>
        <w:tc>
          <w:tcPr>
            <w:tcW w:w="7069" w:type="dxa"/>
            <w:gridSpan w:val="3"/>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四、设备绿色管理</w:t>
            </w:r>
          </w:p>
        </w:tc>
      </w:tr>
      <w:tr w:rsidR="00FA4D5C" w:rsidTr="00E90470">
        <w:trPr>
          <w:trHeight w:val="329"/>
          <w:jc w:val="center"/>
        </w:trPr>
        <w:tc>
          <w:tcPr>
            <w:tcW w:w="972" w:type="dxa"/>
            <w:tcBorders>
              <w:top w:val="single" w:sz="8" w:space="0" w:color="000000"/>
              <w:left w:val="single" w:sz="8" w:space="0" w:color="000000"/>
              <w:bottom w:val="single" w:sz="4" w:space="0" w:color="auto"/>
              <w:right w:val="single" w:sz="8" w:space="0" w:color="000000"/>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13</w:t>
            </w:r>
          </w:p>
        </w:tc>
        <w:tc>
          <w:tcPr>
            <w:tcW w:w="4801" w:type="dxa"/>
            <w:tcBorders>
              <w:top w:val="single" w:sz="8" w:space="0" w:color="000000"/>
              <w:left w:val="single" w:sz="8" w:space="0" w:color="000000"/>
              <w:bottom w:val="single" w:sz="4" w:space="0" w:color="auto"/>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电器电子产品有害物质限制使用管理</w:t>
            </w:r>
          </w:p>
        </w:tc>
        <w:tc>
          <w:tcPr>
            <w:tcW w:w="1296"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r w:rsidR="00FA4D5C" w:rsidTr="00E90470">
        <w:trPr>
          <w:trHeight w:val="329"/>
          <w:jc w:val="center"/>
        </w:trPr>
        <w:tc>
          <w:tcPr>
            <w:tcW w:w="97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14</w:t>
            </w:r>
          </w:p>
        </w:tc>
        <w:tc>
          <w:tcPr>
            <w:tcW w:w="480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废旧电器电子产品处理</w:t>
            </w:r>
          </w:p>
        </w:tc>
        <w:tc>
          <w:tcPr>
            <w:tcW w:w="1296" w:type="dxa"/>
            <w:tcBorders>
              <w:top w:val="nil"/>
              <w:left w:val="single" w:sz="4" w:space="0" w:color="auto"/>
              <w:bottom w:val="single" w:sz="4" w:space="0" w:color="auto"/>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r w:rsidR="00FA4D5C" w:rsidTr="00E90470">
        <w:trPr>
          <w:trHeight w:val="329"/>
          <w:jc w:val="center"/>
        </w:trPr>
        <w:tc>
          <w:tcPr>
            <w:tcW w:w="972" w:type="dxa"/>
            <w:tcBorders>
              <w:top w:val="single" w:sz="4" w:space="0" w:color="auto"/>
              <w:left w:val="single" w:sz="8" w:space="0" w:color="000000"/>
              <w:bottom w:val="nil"/>
              <w:right w:val="single" w:sz="4" w:space="0" w:color="auto"/>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15</w:t>
            </w:r>
          </w:p>
        </w:tc>
        <w:tc>
          <w:tcPr>
            <w:tcW w:w="480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废弃物处理</w:t>
            </w:r>
          </w:p>
        </w:tc>
        <w:tc>
          <w:tcPr>
            <w:tcW w:w="129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r w:rsidR="00FA4D5C" w:rsidTr="00E90470">
        <w:trPr>
          <w:trHeight w:val="329"/>
          <w:jc w:val="center"/>
        </w:trPr>
        <w:tc>
          <w:tcPr>
            <w:tcW w:w="7069" w:type="dxa"/>
            <w:gridSpan w:val="3"/>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A4D5C" w:rsidRDefault="00FA4D5C" w:rsidP="00E90470">
            <w:pPr>
              <w:widowControl/>
              <w:spacing w:line="300" w:lineRule="exact"/>
              <w:textAlignment w:val="center"/>
              <w:rPr>
                <w:rFonts w:ascii="仿宋_GB2312" w:hAnsi="仿宋_GB2312" w:cs="仿宋_GB2312" w:hint="eastAsia"/>
                <w:sz w:val="24"/>
                <w:szCs w:val="24"/>
              </w:rPr>
            </w:pPr>
            <w:r>
              <w:rPr>
                <w:rFonts w:ascii="仿宋_GB2312" w:hAnsi="仿宋_GB2312" w:cs="仿宋_GB2312" w:hint="eastAsia"/>
                <w:kern w:val="0"/>
                <w:sz w:val="24"/>
                <w:szCs w:val="24"/>
                <w:lang/>
              </w:rPr>
              <w:t>五、加分项</w:t>
            </w:r>
          </w:p>
        </w:tc>
      </w:tr>
      <w:tr w:rsidR="00FA4D5C" w:rsidTr="00E90470">
        <w:trPr>
          <w:trHeight w:val="329"/>
          <w:jc w:val="center"/>
        </w:trPr>
        <w:tc>
          <w:tcPr>
            <w:tcW w:w="972" w:type="dxa"/>
            <w:tcBorders>
              <w:top w:val="single" w:sz="8" w:space="0" w:color="000000"/>
              <w:left w:val="single" w:sz="8" w:space="0" w:color="000000"/>
              <w:bottom w:val="nil"/>
              <w:right w:val="nil"/>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16</w:t>
            </w:r>
          </w:p>
        </w:tc>
        <w:tc>
          <w:tcPr>
            <w:tcW w:w="4801" w:type="dxa"/>
            <w:tcBorders>
              <w:top w:val="nil"/>
              <w:left w:val="single" w:sz="8" w:space="0" w:color="000000"/>
              <w:bottom w:val="single" w:sz="4" w:space="0" w:color="auto"/>
              <w:right w:val="single" w:sz="8" w:space="0" w:color="000000"/>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可再生能源电力消纳及绿色电力证书消费</w:t>
            </w:r>
          </w:p>
        </w:tc>
        <w:tc>
          <w:tcPr>
            <w:tcW w:w="1296" w:type="dxa"/>
            <w:tcBorders>
              <w:top w:val="nil"/>
              <w:left w:val="single" w:sz="8" w:space="0" w:color="000000"/>
              <w:bottom w:val="single" w:sz="4" w:space="0" w:color="auto"/>
              <w:right w:val="single" w:sz="8" w:space="0" w:color="000000"/>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3</w:t>
            </w:r>
          </w:p>
        </w:tc>
      </w:tr>
      <w:tr w:rsidR="00FA4D5C" w:rsidTr="00E90470">
        <w:trPr>
          <w:trHeight w:val="329"/>
          <w:jc w:val="center"/>
        </w:trPr>
        <w:tc>
          <w:tcPr>
            <w:tcW w:w="972"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FA4D5C" w:rsidRDefault="00FA4D5C" w:rsidP="00E90470">
            <w:pPr>
              <w:widowControl/>
              <w:spacing w:line="300" w:lineRule="exact"/>
              <w:jc w:val="center"/>
              <w:textAlignment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17</w:t>
            </w:r>
          </w:p>
        </w:tc>
        <w:tc>
          <w:tcPr>
            <w:tcW w:w="480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spacing w:line="300" w:lineRule="exact"/>
              <w:rPr>
                <w:rFonts w:ascii="仿宋_GB2312" w:hAnsi="仿宋_GB2312" w:cs="仿宋_GB2312" w:hint="eastAsia"/>
                <w:kern w:val="0"/>
                <w:sz w:val="24"/>
                <w:szCs w:val="24"/>
                <w:lang/>
              </w:rPr>
            </w:pPr>
            <w:r>
              <w:rPr>
                <w:rFonts w:ascii="仿宋_GB2312" w:hAnsi="仿宋_GB2312" w:cs="仿宋_GB2312" w:hint="eastAsia"/>
                <w:kern w:val="0"/>
                <w:sz w:val="24"/>
                <w:szCs w:val="24"/>
                <w:lang/>
              </w:rPr>
              <w:t>标准等绿色公共服务</w:t>
            </w:r>
          </w:p>
        </w:tc>
        <w:tc>
          <w:tcPr>
            <w:tcW w:w="129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FA4D5C" w:rsidRDefault="00FA4D5C" w:rsidP="00E90470">
            <w:pPr>
              <w:widowControl/>
              <w:tabs>
                <w:tab w:val="center" w:pos="1222"/>
                <w:tab w:val="right" w:pos="2324"/>
              </w:tabs>
              <w:snapToGrid w:val="0"/>
              <w:spacing w:line="300" w:lineRule="exact"/>
              <w:jc w:val="center"/>
              <w:rPr>
                <w:rFonts w:ascii="仿宋_GB2312" w:hAnsi="仿宋_GB2312" w:cs="仿宋_GB2312" w:hint="eastAsia"/>
                <w:kern w:val="0"/>
                <w:sz w:val="24"/>
                <w:szCs w:val="24"/>
                <w:lang/>
              </w:rPr>
            </w:pPr>
            <w:r>
              <w:rPr>
                <w:rFonts w:ascii="仿宋_GB2312" w:hAnsi="仿宋_GB2312" w:cs="仿宋_GB2312" w:hint="eastAsia"/>
                <w:kern w:val="0"/>
                <w:sz w:val="24"/>
                <w:szCs w:val="24"/>
                <w:lang/>
              </w:rPr>
              <w:t>2</w:t>
            </w:r>
          </w:p>
        </w:tc>
      </w:tr>
    </w:tbl>
    <w:p w:rsidR="00FA4D5C" w:rsidRDefault="00FA4D5C" w:rsidP="00FA4D5C">
      <w:pPr>
        <w:adjustRightInd w:val="0"/>
        <w:snapToGrid w:val="0"/>
        <w:spacing w:line="520" w:lineRule="exact"/>
        <w:ind w:firstLineChars="200" w:firstLine="616"/>
        <w:outlineLvl w:val="0"/>
        <w:rPr>
          <w:rFonts w:eastAsia="黑体" w:hAnsi="黑体"/>
          <w:szCs w:val="32"/>
        </w:rPr>
      </w:pPr>
    </w:p>
    <w:p w:rsidR="00FA4D5C" w:rsidRDefault="00FA4D5C" w:rsidP="00FA4D5C">
      <w:pPr>
        <w:adjustRightInd w:val="0"/>
        <w:snapToGrid w:val="0"/>
        <w:spacing w:line="500" w:lineRule="exact"/>
        <w:ind w:firstLineChars="200" w:firstLine="616"/>
        <w:outlineLvl w:val="0"/>
        <w:rPr>
          <w:rFonts w:ascii="黑体" w:eastAsia="黑体" w:hAnsi="黑体" w:cs="黑体" w:hint="eastAsia"/>
          <w:szCs w:val="32"/>
        </w:rPr>
      </w:pPr>
      <w:r>
        <w:rPr>
          <w:rFonts w:ascii="黑体" w:eastAsia="黑体" w:hAnsi="黑体" w:cs="黑体" w:hint="eastAsia"/>
          <w:szCs w:val="32"/>
        </w:rPr>
        <w:t>二、指标说明及评分规则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绿色数据中心各评价指标的具体指标说明及评分规则如</w:t>
      </w:r>
      <w:r>
        <w:rPr>
          <w:rFonts w:ascii="仿宋_GB2312" w:hAnsi="仿宋_GB2312" w:cs="仿宋_GB2312" w:hint="eastAsia"/>
          <w:szCs w:val="32"/>
        </w:rPr>
        <w:lastRenderedPageBreak/>
        <w:t>下。</w:t>
      </w:r>
    </w:p>
    <w:p w:rsidR="00FA4D5C" w:rsidRDefault="00FA4D5C" w:rsidP="00FA4D5C">
      <w:pPr>
        <w:pStyle w:val="Style1"/>
        <w:adjustRightInd w:val="0"/>
        <w:snapToGrid w:val="0"/>
        <w:spacing w:line="500" w:lineRule="exact"/>
        <w:ind w:firstLine="618"/>
        <w:rPr>
          <w:rFonts w:ascii="仿宋_GB2312" w:hAnsi="仿宋_GB2312" w:cs="仿宋_GB2312" w:hint="eastAsia"/>
          <w:b/>
          <w:szCs w:val="32"/>
        </w:rPr>
      </w:pPr>
      <w:r>
        <w:rPr>
          <w:rFonts w:ascii="仿宋_GB2312" w:hAnsi="仿宋_GB2312" w:cs="仿宋_GB2312" w:hint="eastAsia"/>
          <w:b/>
          <w:szCs w:val="32"/>
        </w:rPr>
        <w:t>（一）能源资源高效利用情况</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1.电能利用效率（PUE)</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依据《电信互联网数据中心（IDC）的能耗测评方法》（YD/T2543-2013）规定测得的连续一年内数据中心总耗电与数据中心IT设备耗电的比值。</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总分60分。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所申报数据中心实际得分按照公式“80-20×PUE”进行计算。</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2.设计指标达标情况</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2.1指标说明</w:t>
      </w:r>
    </w:p>
    <w:p w:rsidR="00FA4D5C" w:rsidRDefault="00FA4D5C" w:rsidP="00FA4D5C">
      <w:pPr>
        <w:adjustRightInd w:val="0"/>
        <w:snapToGrid w:val="0"/>
        <w:spacing w:line="50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连续一年内数据中心实际能源资源利用水平与设计水平的比较。</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总分3分。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连续一年内所申报数据中心实际能源资源利用水平不低于相关政府部门批复的设计指标水平得3分，否则不得分。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3.IT设备负荷使用率</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连续一年内数据中心机柜实际平均用电负荷功率与数据中心机柜标称平均功率的比值。</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连续一年内数据中心机柜实际平均用电负荷功率=依据《电信互联网数据中心（IDC）的能耗测评方法》（YD/T2543-2013）规定测得的测量周期为1年的IT设备耗电量÷总安装机柜数÷8760</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数据中心机柜标称平均功率=数据中心机柜标称功率总和÷总安装机柜数</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总分3分。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 IT设备负荷使用率不低于70%，得3分；低于70%但不低于50%，得2分；低于50%但不低于30%，得1分；低于30%不得分。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4.可再生能源使用比率</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4.1指标说明</w:t>
      </w:r>
    </w:p>
    <w:p w:rsidR="00FA4D5C" w:rsidRDefault="00FA4D5C" w:rsidP="00FA4D5C">
      <w:pPr>
        <w:adjustRightInd w:val="0"/>
        <w:snapToGrid w:val="0"/>
        <w:spacing w:line="50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连续一年内数据中心通过直接购买并应用可再生能源电力、在中国绿色电力证书认购平台上认购绿色电力证书代表电量、</w:t>
      </w:r>
      <w:proofErr w:type="gramStart"/>
      <w:r>
        <w:rPr>
          <w:rFonts w:ascii="仿宋_GB2312" w:hAnsi="仿宋_GB2312" w:cs="仿宋_GB2312" w:hint="eastAsia"/>
          <w:spacing w:val="-11"/>
          <w:szCs w:val="32"/>
        </w:rPr>
        <w:t>应用自</w:t>
      </w:r>
      <w:proofErr w:type="gramEnd"/>
      <w:r>
        <w:rPr>
          <w:rFonts w:ascii="仿宋_GB2312" w:hAnsi="仿宋_GB2312" w:cs="仿宋_GB2312" w:hint="eastAsia"/>
          <w:spacing w:val="-11"/>
          <w:szCs w:val="32"/>
        </w:rPr>
        <w:t>建分布式可再生能源电站所发电力等方式使用的具有直接所有权的可再生能源电量与依据《电信互联网数据中心（IDC）的能耗测评方法》（YD/T2543-2013）规定测得的同时期内数据中心总耗电量的比值。</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4.2评分规则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所申报数据中心可再生能源使用比率比值不低于5%得2分，低于5%但不低于2.5%，得1分。否则不得分。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5.水资源使用率</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5.1指标说明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连续一年数据中心水资源消耗量与依据《电信互联网数据中心（IDC）的能耗测评方法》（YD/T2543-2013）规定测得的同时期内IT设备耗电量的比值。</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5.2评分规则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所申报数据中心水资源使用效率不高于0.6L/kW·h得2</w:t>
      </w:r>
      <w:r>
        <w:rPr>
          <w:rFonts w:ascii="仿宋_GB2312" w:hAnsi="仿宋_GB2312" w:cs="仿宋_GB2312" w:hint="eastAsia"/>
          <w:szCs w:val="32"/>
        </w:rPr>
        <w:lastRenderedPageBreak/>
        <w:t>分，否则不得分。</w:t>
      </w:r>
    </w:p>
    <w:p w:rsidR="00FA4D5C" w:rsidRDefault="00FA4D5C" w:rsidP="00FA4D5C">
      <w:pPr>
        <w:pStyle w:val="Style1"/>
        <w:adjustRightInd w:val="0"/>
        <w:snapToGrid w:val="0"/>
        <w:spacing w:line="500" w:lineRule="exact"/>
        <w:ind w:firstLine="618"/>
        <w:rPr>
          <w:rFonts w:ascii="仿宋_GB2312" w:hAnsi="仿宋_GB2312" w:cs="仿宋_GB2312" w:hint="eastAsia"/>
          <w:b/>
          <w:szCs w:val="32"/>
        </w:rPr>
      </w:pPr>
      <w:r>
        <w:rPr>
          <w:rFonts w:ascii="仿宋_GB2312" w:hAnsi="仿宋_GB2312" w:cs="仿宋_GB2312" w:hint="eastAsia"/>
          <w:b/>
          <w:szCs w:val="32"/>
        </w:rPr>
        <w:t>（二）绿色设计及绿色采购</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6.绿色先进适用技术产品应用</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采用先进绿色节能技术产品及工信部发布的《绿色数据中心先进适用技术产品目录》相关技术产品建设数据中心。</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总分10分。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6.2.1所申报数据中心冷源均选用能效限定值及能效等级国家标准评定达到能效等级1级的产品得2分。选用能效等级2级以上产品得1分。如使用有能效等级2级以下产品则不得分。如：冷水机组按《冷水机组能效限定值及能效等级》（GB19577-2015）评定。对于暂时无相应国家标准的产品，可参照行业标准或行业公认的相关行业协会制定的能效标准评定。</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6.2.2所申报数据中心水冷系统选用的</w:t>
      </w:r>
      <w:proofErr w:type="gramStart"/>
      <w:r>
        <w:rPr>
          <w:rFonts w:ascii="仿宋_GB2312" w:hAnsi="仿宋_GB2312" w:cs="仿宋_GB2312" w:hint="eastAsia"/>
          <w:szCs w:val="32"/>
        </w:rPr>
        <w:t>泵产品</w:t>
      </w:r>
      <w:proofErr w:type="gramEnd"/>
      <w:r>
        <w:rPr>
          <w:rFonts w:ascii="仿宋_GB2312" w:hAnsi="仿宋_GB2312" w:cs="仿宋_GB2312" w:hint="eastAsia"/>
          <w:szCs w:val="32"/>
        </w:rPr>
        <w:t>均选用按相应国家标准评定能效指标在节能评价</w:t>
      </w:r>
      <w:proofErr w:type="gramStart"/>
      <w:r>
        <w:rPr>
          <w:rFonts w:ascii="仿宋_GB2312" w:hAnsi="仿宋_GB2312" w:cs="仿宋_GB2312" w:hint="eastAsia"/>
          <w:szCs w:val="32"/>
        </w:rPr>
        <w:t>值以上</w:t>
      </w:r>
      <w:proofErr w:type="gramEnd"/>
      <w:r>
        <w:rPr>
          <w:rFonts w:ascii="仿宋_GB2312" w:hAnsi="仿宋_GB2312" w:cs="仿宋_GB2312" w:hint="eastAsia"/>
          <w:szCs w:val="32"/>
        </w:rPr>
        <w:t>的产品，风冷系统选用的风机、空气压缩机等产品均选用能效限定值及能效等级国家标准评定达到能效等级1级的产品得2分。</w:t>
      </w:r>
      <w:proofErr w:type="gramStart"/>
      <w:r>
        <w:rPr>
          <w:rFonts w:ascii="仿宋_GB2312" w:hAnsi="仿宋_GB2312" w:cs="仿宋_GB2312" w:hint="eastAsia"/>
          <w:szCs w:val="32"/>
        </w:rPr>
        <w:t>泵产品</w:t>
      </w:r>
      <w:proofErr w:type="gramEnd"/>
      <w:r>
        <w:rPr>
          <w:rFonts w:ascii="仿宋_GB2312" w:hAnsi="仿宋_GB2312" w:cs="仿宋_GB2312" w:hint="eastAsia"/>
          <w:szCs w:val="32"/>
        </w:rPr>
        <w:t>选用节能评价值</w:t>
      </w:r>
      <w:proofErr w:type="gramStart"/>
      <w:r>
        <w:rPr>
          <w:rFonts w:ascii="仿宋_GB2312" w:hAnsi="仿宋_GB2312" w:cs="仿宋_GB2312" w:hint="eastAsia"/>
          <w:szCs w:val="32"/>
        </w:rPr>
        <w:t>以下但</w:t>
      </w:r>
      <w:proofErr w:type="gramEnd"/>
      <w:r>
        <w:rPr>
          <w:rFonts w:ascii="仿宋_GB2312" w:hAnsi="仿宋_GB2312" w:cs="仿宋_GB2312" w:hint="eastAsia"/>
          <w:szCs w:val="32"/>
        </w:rPr>
        <w:t>在能效限定</w:t>
      </w:r>
      <w:proofErr w:type="gramStart"/>
      <w:r>
        <w:rPr>
          <w:rFonts w:ascii="仿宋_GB2312" w:hAnsi="仿宋_GB2312" w:cs="仿宋_GB2312" w:hint="eastAsia"/>
          <w:szCs w:val="32"/>
        </w:rPr>
        <w:t>值以上</w:t>
      </w:r>
      <w:proofErr w:type="gramEnd"/>
      <w:r>
        <w:rPr>
          <w:rFonts w:ascii="仿宋_GB2312" w:hAnsi="仿宋_GB2312" w:cs="仿宋_GB2312" w:hint="eastAsia"/>
          <w:szCs w:val="32"/>
        </w:rPr>
        <w:t>产品，风机、空气压缩机等产品选用能效等级2级以上产品得1分。否则不得分。如：清水离心泵按《清水离心泵能效限定值及节能评价值》（GB 19762-2007）评定，通风机按《通风机能效限定值及能效等级》（GB 19761-2009）评定。对于暂时无相应国家标准的产品，可参照行业标准或行业公认的相关行业协会制定的能效标准评定。</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6.2.3所申报数据中心供配电系统直接使用的以及包含在</w:t>
      </w:r>
      <w:r>
        <w:rPr>
          <w:rFonts w:ascii="仿宋_GB2312" w:hAnsi="仿宋_GB2312" w:cs="仿宋_GB2312" w:hint="eastAsia"/>
          <w:szCs w:val="32"/>
        </w:rPr>
        <w:lastRenderedPageBreak/>
        <w:t>不间断电源（UPS）中的各类变压器产品均选用能效限定值及能效等级国家标准评定达到能效等级1级的产品得2分。选用能效等级2级以上产品得1分。如使用有能效等级2级以下产品则不得分。如：三相配电变压器按《三相配电变压器能效限定值及能效等级》（GB 20052-2013）评定，电力变压器按《电力变压器能效限定值及能效等级》（GB 24790-2009）评定，对于暂时无相应国家标准的产品，参照行业标准或行业公认的相关行业协会制定的能效标准评定。</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6.2.4所申报数据中心安装有能源、资源信息化管控系统，可实时监视各系统设备的运行状态及工作参数，可实时显示各系统及主要设备对能源、资源的使用情况，并提供智能化分析功能，根据系统实现功能及实施效果得0-2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6.2.5除上述所列产品外，所申报数据中心积极选用《绿色数据中心先进适用技术产品目录》所推荐技术产品或类似功能及性能技术产品，根据实际情况得0-2分。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以上各项得分相加为本指标项得分。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7.清洁能源利用系统</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7.1指标说明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数据中心对自然冷源、分布式可再生能源和余能余热等形式的清洁能源进行利用。</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7.2评分规则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根据所申报数据中心在自有场所建设自然冷源、自有系统余热回收利用或分布式可再生能源发电等清洁能源利用系统及应用情况得0-2分。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8.绿色采购</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8.1指标说明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建立绿色采购制度，优先采购满足国家绿色设计产品评价相关要求的设备和产品。</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8.2评分规则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具备明确的绿色采购制度，优先采购满足国家有关绿色设计产品评价要求或满足相关节能、节水、低碳等相关标准要求的设备和产品。根据实际情况得0-2分。</w:t>
      </w:r>
    </w:p>
    <w:p w:rsidR="00FA4D5C" w:rsidRDefault="00FA4D5C" w:rsidP="00FA4D5C">
      <w:pPr>
        <w:pStyle w:val="Style1"/>
        <w:autoSpaceDE w:val="0"/>
        <w:autoSpaceDN w:val="0"/>
        <w:adjustRightInd w:val="0"/>
        <w:snapToGrid w:val="0"/>
        <w:spacing w:line="500" w:lineRule="exact"/>
        <w:ind w:firstLine="618"/>
        <w:jc w:val="left"/>
        <w:rPr>
          <w:rFonts w:ascii="仿宋_GB2312" w:hAnsi="仿宋_GB2312" w:cs="仿宋_GB2312" w:hint="eastAsia"/>
          <w:b/>
          <w:szCs w:val="32"/>
        </w:rPr>
      </w:pPr>
      <w:r>
        <w:rPr>
          <w:rFonts w:ascii="仿宋_GB2312" w:hAnsi="仿宋_GB2312" w:cs="仿宋_GB2312" w:hint="eastAsia"/>
          <w:b/>
          <w:szCs w:val="32"/>
        </w:rPr>
        <w:t>（三）能源资源绿色管理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9.能源管控</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9.1指标说明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结合气候环境、自身负载变化和运营成本等因素</w:t>
      </w:r>
      <w:proofErr w:type="gramStart"/>
      <w:r>
        <w:rPr>
          <w:rFonts w:ascii="仿宋_GB2312" w:hAnsi="仿宋_GB2312" w:cs="仿宋_GB2312" w:hint="eastAsia"/>
          <w:szCs w:val="32"/>
        </w:rPr>
        <w:t>科学运</w:t>
      </w:r>
      <w:proofErr w:type="gramEnd"/>
      <w:r>
        <w:rPr>
          <w:rFonts w:ascii="仿宋_GB2312" w:hAnsi="仿宋_GB2312" w:cs="仿宋_GB2312" w:hint="eastAsia"/>
          <w:szCs w:val="32"/>
        </w:rPr>
        <w:t>维，以实现能源利用效益最大化。</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9.2评分规则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总分4分。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9.2.1所申报数据中心具有能耗统计分析制度，应至少每月对能耗数据进行统计分析，结合气候环境、自身负载变化和运营成本等因素对关键系统的运行方式进行优化调整。对具有自动控制功能的能源信息化管控系统的运行情况应定期进行检查及校正。根据实际情况得0-1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9.2.2所申报数据中心对于基础设施定期进行检查和维护，保证基础设施运行于最优工况。根据实际情况得0-1分。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9.2.3所申报数据中心对降低能耗设置有明确的、不断提高的发展目标，并将目标分解落实到责任人，制定相应的奖惩办法和长效考评机制。根据实际情况得0-1分。</w:t>
      </w:r>
    </w:p>
    <w:p w:rsidR="00FA4D5C" w:rsidRDefault="00FA4D5C" w:rsidP="00FA4D5C">
      <w:pPr>
        <w:adjustRightInd w:val="0"/>
        <w:snapToGrid w:val="0"/>
        <w:spacing w:line="500" w:lineRule="exact"/>
        <w:ind w:firstLineChars="200" w:firstLine="616"/>
        <w:rPr>
          <w:rFonts w:ascii="仿宋_GB2312" w:hAnsi="仿宋_GB2312" w:cs="仿宋_GB2312" w:hint="eastAsia"/>
          <w:spacing w:val="-11"/>
          <w:szCs w:val="32"/>
        </w:rPr>
      </w:pPr>
      <w:r>
        <w:rPr>
          <w:rFonts w:ascii="仿宋_GB2312" w:hAnsi="仿宋_GB2312" w:cs="仿宋_GB2312" w:hint="eastAsia"/>
          <w:szCs w:val="32"/>
        </w:rPr>
        <w:t>9.2.4</w:t>
      </w:r>
      <w:r>
        <w:rPr>
          <w:rFonts w:ascii="仿宋_GB2312" w:hAnsi="仿宋_GB2312" w:cs="仿宋_GB2312" w:hint="eastAsia"/>
          <w:spacing w:val="-11"/>
          <w:szCs w:val="32"/>
        </w:rPr>
        <w:t>所申报数据中心建立有人员培训培养机制，不断提升数据中心人员节能运维与管理职业技能水平。根据实际情况得0-1分。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以上各项得分累加为该项指标得分。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10.水资源管控</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10.1指标说明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建立节水制度，充分利用水资源。</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10.2评分规则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10.2.1所申报数据中心充分分析水资源使用情况，结合气候环境和自身负载变化、运营成本等因素不断调整用水策略，尽最大可能对水资源进行回收再利用，减少水资源消耗。根据实际情况得0-1分。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10.2.2建立节水制度，使用节水器具，加强用水设备的日常维护，损坏管件应及时更换，防止破管、渗水、漏水现象的发生。根据实际情况得0-1分。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以上两项得分累加为该项指标得分。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11.节能诊断服务</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11.1指标说明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积极响应《工业节能诊断服务行动计划》（工信</w:t>
      </w:r>
      <w:proofErr w:type="gramStart"/>
      <w:r>
        <w:rPr>
          <w:rFonts w:ascii="仿宋_GB2312" w:hAnsi="仿宋_GB2312" w:cs="仿宋_GB2312" w:hint="eastAsia"/>
          <w:szCs w:val="32"/>
        </w:rPr>
        <w:t>部节函〔2019〕</w:t>
      </w:r>
      <w:proofErr w:type="gramEnd"/>
      <w:r>
        <w:rPr>
          <w:rFonts w:ascii="仿宋_GB2312" w:hAnsi="仿宋_GB2312" w:cs="仿宋_GB2312" w:hint="eastAsia"/>
          <w:szCs w:val="32"/>
        </w:rPr>
        <w:t>101号），自愿接受节能诊断服务，并依据诊断结果开展有实效的节能、节水等绿色技术改造。</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11.2评分规则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所申报数据中心近两年内积极响应《工业节能诊断服务行动计划》（工信</w:t>
      </w:r>
      <w:proofErr w:type="gramStart"/>
      <w:r>
        <w:rPr>
          <w:rFonts w:ascii="仿宋_GB2312" w:hAnsi="仿宋_GB2312" w:cs="仿宋_GB2312" w:hint="eastAsia"/>
          <w:szCs w:val="32"/>
        </w:rPr>
        <w:t>部节函〔2019〕</w:t>
      </w:r>
      <w:proofErr w:type="gramEnd"/>
      <w:r>
        <w:rPr>
          <w:rFonts w:ascii="仿宋_GB2312" w:hAnsi="仿宋_GB2312" w:cs="仿宋_GB2312" w:hint="eastAsia"/>
          <w:szCs w:val="32"/>
        </w:rPr>
        <w:t>101号），自愿接受节能诊断服务，并依据诊断结果开展节能、节水等绿色技术改造并取得实效。根据实际情况得0-2分。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12.第三方评测</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12.1指标说明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由具有CNAS、CMA资质的第三方机构进行评测并出具符合CNAS、CMA要求的相应检测报告，数据中心据此采取提升改进措施并取得实效。</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12.2评分规则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所申报数据中心近两年内由具有CNAS、CMA资质的第三方机构进行评测并出具符合CNAS、CMA要求的相应检测报告，所申报数据中心据此采取提升改进措施并取得实效。根据实际情况得0-2分。</w:t>
      </w:r>
    </w:p>
    <w:p w:rsidR="00FA4D5C" w:rsidRDefault="00FA4D5C" w:rsidP="00FA4D5C">
      <w:pPr>
        <w:pStyle w:val="Style1"/>
        <w:autoSpaceDE w:val="0"/>
        <w:autoSpaceDN w:val="0"/>
        <w:adjustRightInd w:val="0"/>
        <w:snapToGrid w:val="0"/>
        <w:spacing w:line="500" w:lineRule="exact"/>
        <w:ind w:firstLine="618"/>
        <w:jc w:val="left"/>
        <w:rPr>
          <w:rFonts w:ascii="仿宋_GB2312" w:hAnsi="仿宋_GB2312" w:cs="仿宋_GB2312" w:hint="eastAsia"/>
          <w:b/>
          <w:szCs w:val="32"/>
        </w:rPr>
      </w:pPr>
      <w:r>
        <w:rPr>
          <w:rFonts w:ascii="仿宋_GB2312" w:hAnsi="仿宋_GB2312" w:cs="仿宋_GB2312" w:hint="eastAsia"/>
          <w:b/>
          <w:szCs w:val="32"/>
        </w:rPr>
        <w:t>（四）设备绿色管理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13.电器电子产品有害物质限制使用管理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13.1指标说明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数据中心物理界限范围内的电器电子产品应符合《电器电子产品有害物质限制使用管理办法》和《电子电气产品中限用物质的限量要求》（GB/T26572）相关要求。</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13.2评分规则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物理界限内的电器电子产品（包括数据中心本身所有及客户托管存放的各类电器电子产品）应符合《电器电子产品有害物质限制使用管理办法》的相关规定。对列入《电器电子产品有害物质限制使用达标管理目录》的产品，还应满足《电器电子产品有害物质限制使用合格评定制度实施安排》的相关要求。符合得2分，否则不得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14.废旧电器电子产品处理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14.1指标说明</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建立可追溯的电器电子产品管理档案，对废旧电器电子产品妥善进行处理，对有再利用价值的废旧设备采取再利用措施。</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14.2评分规则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建立有可追溯的电器电子产品管理档案，对废旧电器电子产品进行识别，并有具体再利用措施，包括自我利用和与产品生产企业、有相应资质的回收企业共同建立的废旧电器电子产品回收体系。处理过程有记录。根据实际情况得0-2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15.废弃物管理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15.1指标说明</w:t>
      </w:r>
    </w:p>
    <w:p w:rsidR="00FA4D5C" w:rsidRDefault="00FA4D5C" w:rsidP="00FA4D5C">
      <w:pPr>
        <w:adjustRightInd w:val="0"/>
        <w:snapToGrid w:val="0"/>
        <w:spacing w:line="500" w:lineRule="exact"/>
        <w:ind w:firstLineChars="200" w:firstLine="572"/>
        <w:rPr>
          <w:rFonts w:ascii="仿宋_GB2312" w:hAnsi="仿宋_GB2312" w:cs="仿宋_GB2312" w:hint="eastAsia"/>
          <w:spacing w:val="-17"/>
          <w:szCs w:val="32"/>
        </w:rPr>
      </w:pPr>
      <w:r>
        <w:rPr>
          <w:rFonts w:ascii="仿宋_GB2312" w:hAnsi="仿宋_GB2312" w:cs="仿宋_GB2312" w:hint="eastAsia"/>
          <w:spacing w:val="-17"/>
          <w:szCs w:val="32"/>
        </w:rPr>
        <w:t>各类废弃物均应得到妥善处理，且符合国家和地方相关管理规定。</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15.2评分规则</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总分2分。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对于数据中心日常运行维护、检修等产生的空气滤芯、废旧电缆、水处理残渣、废旧电池、电缆桥架、废弃油液、可破坏臭氧层或具有温室效应的制冷剂和污水等各</w:t>
      </w:r>
      <w:proofErr w:type="gramStart"/>
      <w:r>
        <w:rPr>
          <w:rFonts w:ascii="仿宋_GB2312" w:hAnsi="仿宋_GB2312" w:cs="仿宋_GB2312" w:hint="eastAsia"/>
          <w:szCs w:val="32"/>
        </w:rPr>
        <w:t>类可能</w:t>
      </w:r>
      <w:proofErr w:type="gramEnd"/>
      <w:r>
        <w:rPr>
          <w:rFonts w:ascii="仿宋_GB2312" w:hAnsi="仿宋_GB2312" w:cs="仿宋_GB2312" w:hint="eastAsia"/>
          <w:szCs w:val="32"/>
        </w:rPr>
        <w:t>对环境产生不良影响的废弃物，所申报数据中心应充分识别并依照国家及地方相关管理规定建立有相关处理制度，废弃物产生及处理过程有完整记录。根据实际情况得0-2分。</w:t>
      </w:r>
    </w:p>
    <w:p w:rsidR="00FA4D5C" w:rsidRDefault="00FA4D5C" w:rsidP="00FA4D5C">
      <w:pPr>
        <w:pStyle w:val="Style1"/>
        <w:autoSpaceDE w:val="0"/>
        <w:autoSpaceDN w:val="0"/>
        <w:adjustRightInd w:val="0"/>
        <w:snapToGrid w:val="0"/>
        <w:spacing w:line="500" w:lineRule="exact"/>
        <w:ind w:firstLine="618"/>
        <w:jc w:val="left"/>
        <w:rPr>
          <w:rFonts w:ascii="仿宋_GB2312" w:hAnsi="仿宋_GB2312" w:cs="仿宋_GB2312" w:hint="eastAsia"/>
          <w:b/>
          <w:szCs w:val="32"/>
        </w:rPr>
      </w:pPr>
      <w:r>
        <w:rPr>
          <w:rFonts w:ascii="仿宋_GB2312" w:hAnsi="仿宋_GB2312" w:cs="仿宋_GB2312" w:hint="eastAsia"/>
          <w:b/>
          <w:szCs w:val="32"/>
        </w:rPr>
        <w:t>（五）加分项</w:t>
      </w:r>
    </w:p>
    <w:p w:rsidR="00FA4D5C" w:rsidRDefault="00FA4D5C" w:rsidP="00FA4D5C">
      <w:pPr>
        <w:pStyle w:val="Style1"/>
        <w:autoSpaceDE w:val="0"/>
        <w:autoSpaceDN w:val="0"/>
        <w:adjustRightInd w:val="0"/>
        <w:snapToGrid w:val="0"/>
        <w:spacing w:line="500" w:lineRule="exact"/>
        <w:ind w:firstLine="616"/>
        <w:jc w:val="left"/>
        <w:rPr>
          <w:rFonts w:ascii="仿宋_GB2312" w:hAnsi="仿宋_GB2312" w:cs="仿宋_GB2312" w:hint="eastAsia"/>
          <w:szCs w:val="32"/>
        </w:rPr>
      </w:pPr>
      <w:r>
        <w:rPr>
          <w:rFonts w:ascii="仿宋_GB2312" w:hAnsi="仿宋_GB2312" w:cs="仿宋_GB2312" w:hint="eastAsia"/>
          <w:szCs w:val="32"/>
        </w:rPr>
        <w:t>16.可再生能源电力消纳及绿色电力证书消费</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所申报数据中心连续一年内通过直接购买并应用可再生能源电力以及在中国绿色电力证书认购平台上认购绿色电力证书代表电量的总和与依据《电信互联网数据中心（IDC）的能耗测评方法》（YD/T2543-2013）规定测得的同时期内数据中心总耗电量的比值，不低于10%得1分，以后每高出5%加1分，最多得3分。</w:t>
      </w:r>
    </w:p>
    <w:p w:rsidR="00FA4D5C" w:rsidRDefault="00FA4D5C" w:rsidP="00FA4D5C">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17.标准等绿色公共服务</w:t>
      </w:r>
    </w:p>
    <w:p w:rsidR="00FA4D5C" w:rsidRDefault="00FA4D5C" w:rsidP="00FA4D5C">
      <w:pPr>
        <w:pStyle w:val="Style1"/>
        <w:autoSpaceDE w:val="0"/>
        <w:autoSpaceDN w:val="0"/>
        <w:adjustRightInd w:val="0"/>
        <w:snapToGrid w:val="0"/>
        <w:spacing w:line="500" w:lineRule="exact"/>
        <w:ind w:firstLineChars="199" w:firstLine="613"/>
        <w:jc w:val="left"/>
        <w:rPr>
          <w:rFonts w:ascii="仿宋_GB2312" w:hAnsi="仿宋_GB2312" w:cs="仿宋_GB2312" w:hint="eastAsia"/>
          <w:szCs w:val="32"/>
        </w:rPr>
      </w:pPr>
      <w:r>
        <w:rPr>
          <w:rFonts w:ascii="仿宋_GB2312" w:hAnsi="仿宋_GB2312" w:cs="仿宋_GB2312" w:hint="eastAsia"/>
          <w:szCs w:val="32"/>
        </w:rPr>
        <w:t>所申报数据中心围绕绿色数据中心建设主题，通过支持行业会议、参与研究制定相关标准规范等形式公开分享自身发展经验，促进数据中心行业绿色发展。根据相关情况得0-2分。</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4D5C"/>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2CB8"/>
    <w:rsid w:val="00126267"/>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448"/>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4FF4"/>
    <w:rsid w:val="00EE5E85"/>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43AA"/>
    <w:rsid w:val="00F85379"/>
    <w:rsid w:val="00F8639A"/>
    <w:rsid w:val="00F86CA7"/>
    <w:rsid w:val="00F87A55"/>
    <w:rsid w:val="00F906B0"/>
    <w:rsid w:val="00F93CD3"/>
    <w:rsid w:val="00F940EE"/>
    <w:rsid w:val="00F96343"/>
    <w:rsid w:val="00F969C8"/>
    <w:rsid w:val="00FA08C5"/>
    <w:rsid w:val="00FA0AF5"/>
    <w:rsid w:val="00FA2BE0"/>
    <w:rsid w:val="00FA4526"/>
    <w:rsid w:val="00FA4C06"/>
    <w:rsid w:val="00FA4D5C"/>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5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rsid w:val="00FA4D5C"/>
    <w:pPr>
      <w:ind w:firstLineChars="200" w:firstLine="420"/>
    </w:pPr>
  </w:style>
  <w:style w:type="paragraph" w:customStyle="1" w:styleId="Style4">
    <w:name w:val="_Style 4"/>
    <w:basedOn w:val="a"/>
    <w:uiPriority w:val="34"/>
    <w:qFormat/>
    <w:rsid w:val="00FA4D5C"/>
    <w:pPr>
      <w:ind w:firstLineChars="200" w:firstLine="420"/>
    </w:pPr>
  </w:style>
  <w:style w:type="character" w:customStyle="1" w:styleId="font31">
    <w:name w:val="font31"/>
    <w:basedOn w:val="a0"/>
    <w:qFormat/>
    <w:rsid w:val="00FA4D5C"/>
    <w:rPr>
      <w:rFonts w:ascii="仿宋_GB2312" w:eastAsia="仿宋_GB2312" w:cs="仿宋_GB2312" w:hint="default"/>
      <w:color w:val="000000"/>
      <w:sz w:val="24"/>
      <w:szCs w:val="24"/>
      <w:u w:val="none"/>
    </w:rPr>
  </w:style>
  <w:style w:type="character" w:customStyle="1" w:styleId="font21">
    <w:name w:val="font21"/>
    <w:basedOn w:val="a0"/>
    <w:qFormat/>
    <w:rsid w:val="00FA4D5C"/>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702</Words>
  <Characters>4008</Characters>
  <Application>Microsoft Office Word</Application>
  <DocSecurity>0</DocSecurity>
  <Lines>33</Lines>
  <Paragraphs>9</Paragraphs>
  <ScaleCrop>false</ScaleCrop>
  <Company>Microsoft</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2020-08-19T06:04:00Z</dcterms:created>
  <dcterms:modified xsi:type="dcterms:W3CDTF">2020-08-19T06:05:00Z</dcterms:modified>
</cp:coreProperties>
</file>